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r/>
      <w:r/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3402"/>
        <w:gridCol w:w="4860"/>
      </w:tblGrid>
      <w:tr>
        <w:tblPrEx/>
        <w:trPr>
          <w:jc w:val="center"/>
        </w:trPr>
        <w:tc>
          <w:tcPr>
            <w:tcW w:w="3402" w:type="dxa"/>
            <w:textDirection w:val="lrTb"/>
            <w:noWrap w:val="false"/>
          </w:tcPr>
          <w:p>
            <w:pPr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  <w:p>
            <w:pPr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  <w:p>
            <w:pPr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  <w:p>
            <w:pPr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  <w:p>
            <w:pPr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  <w:p>
            <w:pPr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  <w:p>
            <w:pPr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  <w:p>
            <w:pPr>
              <w:jc w:val="both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tcW w:w="4860" w:type="dxa"/>
            <w:textDirection w:val="lrTb"/>
            <w:noWrap w:val="false"/>
          </w:tcPr>
          <w:p>
            <w:pPr>
              <w:jc w:val="right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jc w:val="right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jc w:val="right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jc w:val="right"/>
              <w:rPr>
                <w:b/>
              </w:rPr>
            </w:pPr>
            <w:r>
              <w:rPr>
                <w:b/>
              </w:rPr>
              <w:t xml:space="preserve">УТВЕРЖДАЮ:</w:t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ind w:left="-72"/>
              <w:jc w:val="right"/>
            </w:pPr>
            <w:r>
              <w:t xml:space="preserve">      </w:t>
            </w:r>
            <w:r>
              <w:t xml:space="preserve">Заместитель директора-                                                                                глав</w:t>
            </w:r>
            <w:r>
              <w:t xml:space="preserve">ный инженер филиала            </w:t>
            </w:r>
            <w:r/>
          </w:p>
          <w:p>
            <w:pPr>
              <w:ind w:left="-639"/>
              <w:jc w:val="right"/>
            </w:pPr>
            <w:r>
              <w:t xml:space="preserve">ПАО «Россети Урал</w:t>
            </w:r>
            <w:r>
              <w:t xml:space="preserve">»-</w:t>
            </w:r>
            <w:r>
              <w:t xml:space="preserve">«Перм</w:t>
            </w:r>
            <w:r>
              <w:t xml:space="preserve">энерго» </w:t>
            </w:r>
            <w:r/>
          </w:p>
          <w:p>
            <w:pPr>
              <w:jc w:val="right"/>
              <w:rPr>
                <w:b/>
              </w:rPr>
            </w:pPr>
            <w:r>
              <w:rPr>
                <w:b/>
              </w:rPr>
              <w:t xml:space="preserve"> </w:t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jc w:val="right"/>
            </w:pPr>
            <w:r>
              <w:rPr>
                <w:b/>
              </w:rPr>
              <w:t xml:space="preserve">_____________________</w:t>
            </w:r>
            <w:r>
              <w:t xml:space="preserve">А</w:t>
            </w:r>
            <w:r>
              <w:t xml:space="preserve">.В.</w:t>
            </w:r>
            <w:r>
              <w:t xml:space="preserve"> </w:t>
            </w:r>
            <w:r>
              <w:t xml:space="preserve">Порозов</w:t>
            </w:r>
            <w:r/>
          </w:p>
          <w:p>
            <w:r>
              <w:t xml:space="preserve"> </w:t>
            </w:r>
            <w:r/>
          </w:p>
          <w:p>
            <w:pPr>
              <w:jc w:val="right"/>
            </w:pPr>
            <w:r>
              <w:t xml:space="preserve">«_____» ________________20</w:t>
            </w:r>
            <w:r>
              <w:t xml:space="preserve">26</w:t>
            </w:r>
            <w:r>
              <w:t xml:space="preserve"> г.</w:t>
            </w:r>
            <w:r/>
          </w:p>
        </w:tc>
      </w:tr>
    </w:tbl>
    <w:p>
      <w:r/>
      <w:r/>
    </w:p>
    <w:p>
      <w:r/>
      <w:r/>
    </w:p>
    <w:p>
      <w:pPr>
        <w:jc w:val="right"/>
      </w:pPr>
      <w:r/>
      <w:r/>
    </w:p>
    <w:p>
      <w:pPr>
        <w:jc w:val="right"/>
      </w:pPr>
      <w:r/>
      <w:r/>
    </w:p>
    <w:p>
      <w:pPr>
        <w:jc w:val="right"/>
      </w:pPr>
      <w:r/>
      <w:r/>
    </w:p>
    <w:p>
      <w:pPr>
        <w:jc w:val="right"/>
      </w:pPr>
      <w:r/>
      <w:r/>
    </w:p>
    <w:p>
      <w:pPr>
        <w:jc w:val="right"/>
        <w:spacing w:line="276" w:lineRule="auto"/>
      </w:pPr>
      <w:r/>
      <w:r/>
    </w:p>
    <w:p>
      <w:pPr>
        <w:jc w:val="center"/>
        <w:spacing w:line="276" w:lineRule="auto"/>
      </w:pPr>
      <w:r/>
      <w:r/>
    </w:p>
    <w:p>
      <w:pPr>
        <w:pStyle w:val="936"/>
        <w:jc w:val="center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 xml:space="preserve">Т</w:t>
      </w:r>
      <w:r>
        <w:rPr>
          <w:i w:val="0"/>
          <w:sz w:val="28"/>
          <w:szCs w:val="28"/>
        </w:rPr>
        <w:t xml:space="preserve">ЕХНИЧЕСКОЕ ЗАДАНИЕ</w:t>
      </w:r>
      <w:r>
        <w:rPr>
          <w:i w:val="0"/>
          <w:sz w:val="28"/>
          <w:szCs w:val="28"/>
        </w:rPr>
      </w:r>
      <w:r>
        <w:rPr>
          <w:i w:val="0"/>
          <w:sz w:val="28"/>
          <w:szCs w:val="28"/>
        </w:rPr>
      </w:r>
    </w:p>
    <w:p>
      <w:pPr>
        <w:pStyle w:val="948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pStyle w:val="948"/>
        <w:jc w:val="center"/>
        <w:rPr>
          <w:b/>
        </w:rPr>
      </w:pPr>
      <w:r>
        <w:rPr>
          <w:b/>
        </w:rPr>
        <w:t xml:space="preserve">для организации и проведения </w:t>
      </w:r>
      <w:r>
        <w:rPr>
          <w:b/>
        </w:rPr>
        <w:t xml:space="preserve">сравнения цен в электронной форме</w:t>
      </w:r>
      <w:r>
        <w:rPr>
          <w:b/>
        </w:rPr>
        <w:t xml:space="preserve">,</w:t>
      </w:r>
      <w:r>
        <w:rPr>
          <w:b/>
        </w:rPr>
        <w:t xml:space="preserve"> участниками </w:t>
      </w:r>
      <w:r>
        <w:rPr>
          <w:b/>
        </w:rPr>
        <w:t xml:space="preserve">которого могут быть </w:t>
      </w:r>
      <w:r>
        <w:rPr>
          <w:b/>
        </w:rPr>
        <w:t xml:space="preserve">могут быть </w:t>
      </w:r>
      <w:r>
        <w:rPr>
          <w:b/>
        </w:rPr>
        <w:t xml:space="preserve">только субъекты МСП</w:t>
      </w:r>
      <w:r>
        <w:rPr>
          <w:b/>
        </w:rPr>
      </w:r>
      <w:r>
        <w:rPr>
          <w:b/>
        </w:rPr>
      </w:r>
    </w:p>
    <w:p>
      <w:pPr>
        <w:pStyle w:val="948"/>
        <w:jc w:val="center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pStyle w:val="948"/>
        <w:jc w:val="center"/>
      </w:pPr>
      <w:r>
        <w:rPr>
          <w:b/>
        </w:rPr>
        <w:t xml:space="preserve">на пр</w:t>
      </w:r>
      <w:r>
        <w:rPr>
          <w:b/>
        </w:rPr>
        <w:t xml:space="preserve">аво заключения договора</w:t>
      </w:r>
      <w:r>
        <w:rPr>
          <w:b/>
        </w:rPr>
        <w:t xml:space="preserve"> оказания услуг</w:t>
      </w:r>
      <w:r>
        <w:rPr>
          <w:b/>
        </w:rPr>
        <w:t xml:space="preserve"> по проведению ремонта въездных ворот</w:t>
      </w:r>
      <w:r>
        <w:rPr>
          <w:b/>
        </w:rPr>
        <w:t xml:space="preserve"> </w:t>
      </w:r>
      <w:r>
        <w:rPr>
          <w:b/>
        </w:rPr>
        <w:t xml:space="preserve">ПО </w:t>
      </w:r>
      <w:r>
        <w:rPr>
          <w:b/>
        </w:rPr>
        <w:t xml:space="preserve">"Пермские городские</w:t>
      </w:r>
      <w:r>
        <w:rPr>
          <w:b/>
        </w:rPr>
        <w:t xml:space="preserve"> эл</w:t>
      </w:r>
      <w:r>
        <w:rPr>
          <w:b/>
        </w:rPr>
        <w:t xml:space="preserve">ектрические сети" г.</w:t>
      </w:r>
      <w:r>
        <w:rPr>
          <w:b/>
        </w:rPr>
        <w:t xml:space="preserve"> </w:t>
      </w:r>
      <w:r>
        <w:rPr>
          <w:b/>
        </w:rPr>
        <w:t xml:space="preserve">Пермь</w:t>
      </w:r>
      <w:r/>
    </w:p>
    <w:p>
      <w:pPr>
        <w:pStyle w:val="948"/>
        <w:jc w:val="center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pStyle w:val="948"/>
      </w:pPr>
      <w:r/>
      <w:r/>
    </w:p>
    <w:p>
      <w:pPr>
        <w:pStyle w:val="948"/>
      </w:pPr>
      <w:r/>
      <w:r/>
    </w:p>
    <w:p>
      <w:pPr>
        <w:pStyle w:val="948"/>
      </w:pPr>
      <w:r/>
      <w:r/>
    </w:p>
    <w:p>
      <w:pPr>
        <w:pStyle w:val="948"/>
      </w:pPr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pPr>
        <w:jc w:val="center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jc w:val="center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jc w:val="center"/>
        <w:rPr>
          <w:b/>
        </w:rPr>
      </w:pPr>
      <w:r>
        <w:rPr>
          <w:b/>
        </w:rPr>
        <w:t xml:space="preserve">г. Пермь</w:t>
      </w:r>
      <w:r>
        <w:rPr>
          <w:b/>
        </w:rPr>
      </w:r>
      <w:r>
        <w:rPr>
          <w:b/>
        </w:rPr>
      </w:r>
    </w:p>
    <w:p>
      <w:pPr>
        <w:jc w:val="center"/>
        <w:rPr>
          <w:b/>
        </w:rPr>
        <w:sectPr>
          <w:footerReference w:type="default" r:id="rId9"/>
          <w:footerReference w:type="even" r:id="rId10"/>
          <w:footnotePr/>
          <w:endnotePr/>
          <w:type w:val="nextPage"/>
          <w:pgSz w:w="11906" w:h="16838" w:orient="portrait"/>
          <w:pgMar w:top="1134" w:right="850" w:bottom="1134" w:left="1701" w:header="708" w:footer="708" w:gutter="0"/>
          <w:cols w:num="1" w:sep="0" w:space="708" w:equalWidth="1"/>
          <w:docGrid w:linePitch="360"/>
          <w:titlePg/>
        </w:sectPr>
      </w:pPr>
      <w:r>
        <w:rPr>
          <w:b/>
        </w:rPr>
        <w:t xml:space="preserve">2026</w:t>
      </w:r>
      <w:r>
        <w:rPr>
          <w:b/>
        </w:rPr>
        <w:t xml:space="preserve"> год</w:t>
      </w:r>
      <w:r>
        <w:rPr>
          <w:b/>
        </w:rPr>
      </w:r>
      <w:r>
        <w:rPr>
          <w:b/>
        </w:rPr>
      </w:r>
    </w:p>
    <w:p>
      <w:pPr>
        <w:pStyle w:val="936"/>
        <w:numPr>
          <w:ilvl w:val="0"/>
          <w:numId w:val="2"/>
        </w:numPr>
        <w:ind w:left="0" w:firstLine="0"/>
        <w:jc w:val="both"/>
        <w:tabs>
          <w:tab w:val="left" w:pos="709" w:leader="none"/>
        </w:tabs>
        <w:rPr>
          <w:i w:val="0"/>
          <w:sz w:val="24"/>
          <w:szCs w:val="24"/>
        </w:rPr>
      </w:pPr>
      <w:r>
        <w:rPr>
          <w:i w:val="0"/>
          <w:sz w:val="24"/>
          <w:szCs w:val="24"/>
        </w:rPr>
        <w:t xml:space="preserve">Общие сведения о предмете </w:t>
      </w:r>
      <w:r>
        <w:rPr>
          <w:i w:val="0"/>
          <w:sz w:val="24"/>
          <w:szCs w:val="24"/>
        </w:rPr>
        <w:t xml:space="preserve">сравнения цен</w:t>
      </w:r>
      <w:r>
        <w:rPr>
          <w:i w:val="0"/>
          <w:sz w:val="24"/>
          <w:szCs w:val="24"/>
        </w:rPr>
        <w:t xml:space="preserve"> в электронной форме,</w:t>
      </w:r>
      <w:r>
        <w:rPr>
          <w:i w:val="0"/>
          <w:sz w:val="24"/>
          <w:szCs w:val="24"/>
        </w:rPr>
        <w:t xml:space="preserve"> участниками которого могут быть только субъекты МСП</w:t>
      </w:r>
      <w:r>
        <w:rPr>
          <w:i w:val="0"/>
          <w:sz w:val="24"/>
          <w:szCs w:val="24"/>
        </w:rPr>
        <w:t xml:space="preserve"> (далее - закупка):</w:t>
      </w:r>
      <w:r>
        <w:rPr>
          <w:i w:val="0"/>
          <w:sz w:val="24"/>
          <w:szCs w:val="24"/>
        </w:rPr>
      </w:r>
      <w:r>
        <w:rPr>
          <w:i w:val="0"/>
          <w:sz w:val="24"/>
          <w:szCs w:val="24"/>
        </w:rPr>
      </w:r>
    </w:p>
    <w:p>
      <w:pPr>
        <w:numPr>
          <w:ilvl w:val="1"/>
          <w:numId w:val="2"/>
        </w:numPr>
        <w:ind w:left="0" w:firstLine="0"/>
        <w:jc w:val="both"/>
        <w:tabs>
          <w:tab w:val="left" w:pos="709" w:leader="none"/>
        </w:tabs>
        <w:rPr>
          <w:b/>
        </w:rPr>
      </w:pPr>
      <w:r>
        <w:rPr>
          <w:b/>
        </w:rPr>
        <w:t xml:space="preserve">Предмет </w:t>
      </w:r>
      <w:r>
        <w:rPr>
          <w:b/>
        </w:rPr>
        <w:t xml:space="preserve">закупки</w:t>
      </w:r>
      <w:r>
        <w:rPr>
          <w:b/>
        </w:rPr>
        <w:t xml:space="preserve">:</w:t>
      </w:r>
      <w:r>
        <w:rPr>
          <w:b/>
        </w:rPr>
      </w:r>
      <w:r>
        <w:rPr>
          <w:b/>
        </w:rPr>
      </w:r>
    </w:p>
    <w:p>
      <w:pPr>
        <w:pStyle w:val="948"/>
        <w:jc w:val="both"/>
        <w:tabs>
          <w:tab w:val="left" w:pos="709" w:leader="none"/>
        </w:tabs>
        <w:rPr>
          <w:b w:val="0"/>
          <w:bCs w:val="0"/>
        </w:rPr>
      </w:pPr>
      <w:r>
        <w:rPr>
          <w:b w:val="0"/>
          <w:bCs w:val="0"/>
        </w:rPr>
        <w:t xml:space="preserve">Право заключения до</w:t>
      </w:r>
      <w:r>
        <w:rPr>
          <w:b w:val="0"/>
          <w:bCs w:val="0"/>
        </w:rPr>
        <w:t xml:space="preserve">говора на</w:t>
      </w:r>
      <w:r>
        <w:rPr>
          <w:b w:val="0"/>
          <w:bCs w:val="0"/>
        </w:rPr>
        <w:t xml:space="preserve"> </w:t>
      </w:r>
      <w:r>
        <w:rPr>
          <w:b w:val="0"/>
          <w:bCs w:val="0"/>
        </w:rPr>
        <w:t xml:space="preserve">оказание услуг</w:t>
      </w:r>
      <w:r>
        <w:rPr>
          <w:b w:val="0"/>
          <w:bCs w:val="0"/>
        </w:rPr>
        <w:t xml:space="preserve"> </w:t>
      </w:r>
      <w:r>
        <w:rPr>
          <w:b w:val="0"/>
          <w:bCs w:val="0"/>
        </w:rPr>
        <w:t xml:space="preserve"> по проведению ремонта въездных ворот ПО "Пермские городские электрические сети" г. Пермь</w:t>
      </w:r>
      <w:r>
        <w:rPr>
          <w:b w:val="0"/>
          <w:bCs w:val="0"/>
        </w:rPr>
      </w:r>
      <w:r>
        <w:rPr>
          <w:b w:val="0"/>
          <w:bCs w:val="0"/>
        </w:rPr>
      </w:r>
    </w:p>
    <w:p>
      <w:pPr>
        <w:numPr>
          <w:ilvl w:val="1"/>
          <w:numId w:val="2"/>
        </w:numPr>
        <w:ind w:left="0" w:firstLine="0"/>
        <w:jc w:val="both"/>
        <w:tabs>
          <w:tab w:val="left" w:pos="709" w:leader="none"/>
        </w:tabs>
        <w:rPr>
          <w:b/>
        </w:rPr>
      </w:pPr>
      <w:r>
        <w:rPr>
          <w:b/>
        </w:rPr>
        <w:t xml:space="preserve">Основание для проведения </w:t>
      </w:r>
      <w:r>
        <w:rPr>
          <w:b/>
        </w:rPr>
        <w:t xml:space="preserve">закупки</w:t>
      </w:r>
      <w:r>
        <w:rPr>
          <w:b/>
        </w:rPr>
        <w:t xml:space="preserve">:</w:t>
      </w:r>
      <w:r>
        <w:rPr>
          <w:b/>
        </w:rPr>
      </w:r>
      <w:r>
        <w:rPr>
          <w:b/>
        </w:rPr>
      </w:r>
    </w:p>
    <w:p>
      <w:pPr>
        <w:jc w:val="both"/>
        <w:tabs>
          <w:tab w:val="left" w:pos="426" w:leader="none"/>
          <w:tab w:val="left" w:pos="709" w:leader="none"/>
        </w:tabs>
        <w:rPr>
          <w:color w:val="ff0000"/>
        </w:rPr>
      </w:pPr>
      <w:r>
        <w:t xml:space="preserve">Выписка из протокола ЦЗО №</w:t>
      </w:r>
      <w:r>
        <w:t xml:space="preserve"> 10-05/4 </w:t>
      </w:r>
      <w:r>
        <w:t xml:space="preserve"> </w:t>
      </w:r>
      <w:r>
        <w:t xml:space="preserve">от 29.05.2026.</w:t>
      </w:r>
      <w:r>
        <w:rPr>
          <w:color w:val="ff0000"/>
        </w:rPr>
      </w:r>
      <w:r>
        <w:rPr>
          <w:color w:val="ff0000"/>
        </w:rPr>
      </w:r>
    </w:p>
    <w:p>
      <w:pPr>
        <w:numPr>
          <w:ilvl w:val="1"/>
          <w:numId w:val="2"/>
        </w:numPr>
        <w:ind w:left="0" w:firstLine="0"/>
        <w:jc w:val="both"/>
        <w:tabs>
          <w:tab w:val="left" w:pos="709" w:leader="none"/>
        </w:tabs>
        <w:rPr>
          <w:b/>
        </w:rPr>
      </w:pPr>
      <w:r>
        <w:rPr>
          <w:b/>
        </w:rPr>
        <w:t xml:space="preserve">Заказчик:</w:t>
      </w:r>
      <w:r>
        <w:rPr>
          <w:b/>
        </w:rPr>
        <w:t xml:space="preserve"> </w:t>
      </w:r>
      <w:r>
        <w:t xml:space="preserve">ПАО «Россети Урал</w:t>
      </w:r>
      <w:r>
        <w:t xml:space="preserve">»-«</w:t>
      </w:r>
      <w:r>
        <w:t xml:space="preserve">Перм</w:t>
      </w:r>
      <w:r>
        <w:t xml:space="preserve">энерго</w:t>
      </w:r>
      <w:r>
        <w:t xml:space="preserve">» </w:t>
      </w:r>
      <w:r>
        <w:rPr>
          <w:b w:val="0"/>
          <w:bCs w:val="0"/>
        </w:rPr>
        <w:t xml:space="preserve"> ПО "Пермские городские электрические сети" </w:t>
      </w:r>
      <w:r>
        <w:rPr>
          <w:b/>
        </w:rPr>
      </w:r>
      <w:r>
        <w:rPr>
          <w:b/>
        </w:rPr>
      </w:r>
    </w:p>
    <w:p>
      <w:pPr>
        <w:numPr>
          <w:ilvl w:val="1"/>
          <w:numId w:val="2"/>
        </w:numPr>
        <w:ind w:left="0" w:firstLine="0"/>
        <w:jc w:val="both"/>
        <w:tabs>
          <w:tab w:val="left" w:pos="709" w:leader="none"/>
        </w:tabs>
        <w:rPr>
          <w:rFonts w:eastAsia="MS Mincho"/>
          <w:color w:val="ff0000"/>
          <w:lang w:eastAsia="ja-JP"/>
        </w:rPr>
      </w:pPr>
      <w:r>
        <w:rPr>
          <w:b/>
        </w:rPr>
        <w:t xml:space="preserve">Место</w:t>
      </w:r>
      <w:r>
        <w:t xml:space="preserve"> </w:t>
      </w:r>
      <w:r>
        <w:rPr>
          <w:b/>
        </w:rPr>
        <w:t xml:space="preserve">выполнения работ</w:t>
      </w:r>
      <w:r>
        <w:rPr>
          <w:b/>
        </w:rPr>
        <w:t xml:space="preserve">/оказания услуг</w:t>
      </w:r>
      <w:r>
        <w:rPr>
          <w:b/>
        </w:rPr>
        <w:t xml:space="preserve">:</w:t>
      </w:r>
      <w:r>
        <w:rPr>
          <w:b/>
        </w:rPr>
        <w:t xml:space="preserve"> </w:t>
      </w:r>
      <w:r>
        <w:t xml:space="preserve">Россия, </w:t>
      </w:r>
      <w:r>
        <w:t xml:space="preserve">П</w:t>
      </w:r>
      <w:r>
        <w:t xml:space="preserve">ермский край</w:t>
      </w:r>
      <w:r>
        <w:t xml:space="preserve">, </w:t>
      </w:r>
      <w:r>
        <w:rPr>
          <w:b w:val="0"/>
          <w:bCs w:val="0"/>
        </w:rPr>
        <w:t xml:space="preserve">г. Пермь</w:t>
      </w:r>
      <w:r>
        <w:t xml:space="preserve">.</w:t>
      </w:r>
      <w:r>
        <w:rPr>
          <w:rFonts w:eastAsia="MS Mincho"/>
          <w:color w:val="ff0000"/>
          <w:lang w:eastAsia="ja-JP"/>
        </w:rPr>
      </w:r>
      <w:r>
        <w:rPr>
          <w:rFonts w:eastAsia="MS Mincho"/>
          <w:color w:val="ff0000"/>
          <w:lang w:eastAsia="ja-JP"/>
        </w:rPr>
      </w:r>
    </w:p>
    <w:p>
      <w:pPr>
        <w:numPr>
          <w:ilvl w:val="1"/>
          <w:numId w:val="2"/>
        </w:numPr>
        <w:ind w:left="0" w:firstLine="0"/>
        <w:jc w:val="both"/>
        <w:tabs>
          <w:tab w:val="left" w:pos="709" w:leader="none"/>
        </w:tabs>
        <w:rPr>
          <w:b/>
        </w:rPr>
      </w:pPr>
      <w:r>
        <w:rPr>
          <w:b/>
        </w:rPr>
        <w:t xml:space="preserve">Срок выполнения работ</w:t>
      </w:r>
      <w:r>
        <w:rPr>
          <w:b/>
        </w:rPr>
        <w:t xml:space="preserve">/оказания услуг</w:t>
      </w:r>
      <w:r>
        <w:rPr>
          <w:b/>
        </w:rPr>
        <w:t xml:space="preserve">:</w:t>
      </w:r>
      <w:r>
        <w:rPr>
          <w:b/>
        </w:rPr>
      </w:r>
      <w:r>
        <w:rPr>
          <w:b/>
        </w:rPr>
      </w:r>
    </w:p>
    <w:p>
      <w:pPr>
        <w:numPr>
          <w:ilvl w:val="2"/>
          <w:numId w:val="2"/>
        </w:numPr>
        <w:ind w:left="0" w:firstLine="0"/>
        <w:jc w:val="both"/>
        <w:tabs>
          <w:tab w:val="left" w:pos="709" w:leader="none"/>
        </w:tabs>
      </w:pPr>
      <w:r>
        <w:t xml:space="preserve">Начало </w:t>
      </w:r>
      <w:r>
        <w:t xml:space="preserve">– с момента заключения договора</w:t>
      </w:r>
      <w:r>
        <w:t xml:space="preserve">. </w:t>
      </w:r>
      <w:r>
        <w:t xml:space="preserve">Окончание </w:t>
      </w:r>
      <w:r>
        <w:t xml:space="preserve">–</w:t>
      </w:r>
      <w:r>
        <w:t xml:space="preserve"> </w:t>
      </w:r>
      <w:r>
        <w:t xml:space="preserve">31.12.202</w:t>
      </w:r>
      <w:r>
        <w:t xml:space="preserve">6</w:t>
      </w:r>
      <w:r>
        <w:t xml:space="preserve">г</w:t>
      </w:r>
      <w:r>
        <w:t xml:space="preserve">.</w:t>
      </w:r>
      <w:r>
        <w:t xml:space="preserve"> </w:t>
      </w:r>
      <w:r/>
    </w:p>
    <w:p>
      <w:pPr>
        <w:numPr>
          <w:ilvl w:val="1"/>
          <w:numId w:val="2"/>
        </w:numPr>
        <w:ind w:left="0" w:firstLine="0"/>
        <w:jc w:val="both"/>
        <w:tabs>
          <w:tab w:val="left" w:pos="709" w:leader="none"/>
        </w:tabs>
        <w:rPr>
          <w:b/>
        </w:rPr>
      </w:pPr>
      <w:r>
        <w:rPr>
          <w:b/>
        </w:rPr>
        <w:t xml:space="preserve">Источник финансирования: </w:t>
      </w:r>
      <w:r>
        <w:t xml:space="preserve">себестоимость.</w:t>
      </w:r>
      <w:r>
        <w:rPr>
          <w:b/>
        </w:rPr>
      </w:r>
      <w:r>
        <w:rPr>
          <w:b/>
        </w:rPr>
      </w:r>
    </w:p>
    <w:p>
      <w:pPr>
        <w:numPr>
          <w:ilvl w:val="1"/>
          <w:numId w:val="2"/>
        </w:numPr>
        <w:ind w:left="0" w:firstLine="0"/>
        <w:jc w:val="both"/>
        <w:tabs>
          <w:tab w:val="left" w:pos="709" w:leader="none"/>
        </w:tabs>
        <w:rPr>
          <w:b/>
        </w:rPr>
      </w:pPr>
      <w:r>
        <w:rPr>
          <w:b/>
        </w:rPr>
        <w:t xml:space="preserve">Ценовые показатели:</w:t>
      </w:r>
      <w:r>
        <w:rPr>
          <w:b/>
        </w:rPr>
      </w:r>
      <w:r>
        <w:rPr>
          <w:b/>
        </w:rPr>
      </w:r>
    </w:p>
    <w:tbl>
      <w:tblPr>
        <w:tblW w:w="10093" w:type="dxa"/>
        <w:tblInd w:w="108" w:type="dxa"/>
        <w:tblLook w:val="04A0" w:firstRow="1" w:lastRow="0" w:firstColumn="1" w:lastColumn="0" w:noHBand="0" w:noVBand="1"/>
      </w:tblPr>
      <w:tblGrid>
        <w:gridCol w:w="1217"/>
        <w:gridCol w:w="3886"/>
        <w:gridCol w:w="2011"/>
        <w:gridCol w:w="1174"/>
        <w:gridCol w:w="1805"/>
      </w:tblGrid>
      <w:tr>
        <w:tblPrEx/>
        <w:trPr>
          <w:trHeight w:val="433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17" w:type="dxa"/>
            <w:vAlign w:val="center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закупка/лот (</w:t>
            </w:r>
            <w:r>
              <w:rPr>
                <w:sz w:val="20"/>
                <w:szCs w:val="20"/>
                <w:lang w:val="en-US"/>
              </w:rPr>
              <w:t xml:space="preserve">ID</w:t>
            </w:r>
            <w:r>
              <w:rPr>
                <w:sz w:val="20"/>
                <w:szCs w:val="20"/>
              </w:rPr>
              <w:t xml:space="preserve"> заявки)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886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Наименование лота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011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Начальная (максимальная) цена в руб. с НДС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74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 т.ч. НДС, 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%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05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Код ОКПД2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386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17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61090 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886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b w:val="0"/>
                <w:bCs w:val="0"/>
              </w:rPr>
              <w:t xml:space="preserve">О</w:t>
            </w:r>
            <w:r>
              <w:rPr>
                <w:b w:val="0"/>
                <w:bCs w:val="0"/>
              </w:rPr>
              <w:t xml:space="preserve">казание услуг</w:t>
            </w:r>
            <w:r>
              <w:rPr>
                <w:b w:val="0"/>
                <w:bCs w:val="0"/>
              </w:rPr>
              <w:t xml:space="preserve"> </w:t>
            </w:r>
            <w:r>
              <w:rPr>
                <w:b w:val="0"/>
                <w:bCs w:val="0"/>
              </w:rPr>
              <w:t xml:space="preserve">по проведению ремонта въездных ворот ПО "Пермские городские электрические сети" г. Пермь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011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223 260,00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74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22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05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 xml:space="preserve">29</w:t>
            </w:r>
            <w:r>
              <w:rPr>
                <w:sz w:val="20"/>
                <w:szCs w:val="20"/>
                <w:lang w:val="en-US"/>
              </w:rPr>
              <w:t xml:space="preserve">.</w:t>
            </w:r>
            <w:r>
              <w:rPr>
                <w:sz w:val="20"/>
                <w:szCs w:val="20"/>
                <w:lang w:val="en-US"/>
              </w:rPr>
              <w:t xml:space="preserve">2</w:t>
            </w:r>
            <w:r>
              <w:rPr>
                <w:sz w:val="20"/>
                <w:szCs w:val="20"/>
                <w:lang w:val="en-US"/>
              </w:rPr>
              <w:t xml:space="preserve">4</w:t>
            </w:r>
            <w:r>
              <w:rPr>
                <w:sz w:val="20"/>
                <w:szCs w:val="20"/>
                <w:lang w:val="en-US"/>
              </w:rPr>
              <w:t xml:space="preserve">.</w:t>
            </w:r>
            <w:r>
              <w:rPr>
                <w:sz w:val="20"/>
                <w:szCs w:val="20"/>
                <w:lang w:val="en-US"/>
              </w:rPr>
              <w:t xml:space="preserve">9</w:t>
            </w:r>
            <w:r>
              <w:rPr>
                <w:sz w:val="20"/>
                <w:szCs w:val="20"/>
                <w:lang w:val="en-US"/>
              </w:rPr>
              <w:t xml:space="preserve">1</w:t>
            </w:r>
            <w:r>
              <w:rPr>
                <w:sz w:val="20"/>
                <w:szCs w:val="20"/>
                <w:lang w:val="en-US"/>
              </w:rPr>
              <w:t xml:space="preserve">.</w:t>
            </w:r>
            <w:r>
              <w:rPr>
                <w:sz w:val="20"/>
                <w:szCs w:val="20"/>
                <w:lang w:val="en-US"/>
              </w:rPr>
              <w:t xml:space="preserve">0</w:t>
            </w:r>
            <w:r>
              <w:rPr>
                <w:sz w:val="20"/>
                <w:szCs w:val="20"/>
                <w:lang w:val="en-US"/>
              </w:rPr>
              <w:t xml:space="preserve">0</w:t>
            </w:r>
            <w:r>
              <w:rPr>
                <w:sz w:val="20"/>
                <w:szCs w:val="20"/>
                <w:lang w:val="en-US"/>
              </w:rPr>
              <w:t xml:space="preserve">0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</w:tbl>
    <w:p>
      <w:pPr>
        <w:jc w:val="both"/>
        <w:tabs>
          <w:tab w:val="left" w:pos="709" w:leader="none"/>
        </w:tabs>
        <w:rPr>
          <w:rFonts w:eastAsia="SimSun"/>
          <w:color w:val="000000"/>
          <w:lang w:eastAsia="en-US"/>
        </w:rPr>
      </w:pPr>
      <w:r>
        <w:rPr>
          <w:rFonts w:eastAsia="SimSun"/>
          <w:color w:val="000000"/>
          <w:lang w:eastAsia="en-US"/>
        </w:rPr>
        <w:t xml:space="preserve">Начальная (максимальная) цена договора включает в себя: все затраты, накладные расходы, налоги, пошлины, таможенные платежи, страхо</w:t>
      </w:r>
      <w:r>
        <w:rPr>
          <w:rFonts w:eastAsia="SimSun"/>
          <w:color w:val="000000"/>
          <w:lang w:eastAsia="en-US"/>
        </w:rPr>
        <w:t xml:space="preserve">вание и прочие сборы, которые исполнитель</w:t>
      </w:r>
      <w:r>
        <w:rPr>
          <w:rFonts w:eastAsia="SimSun"/>
          <w:color w:val="000000"/>
          <w:lang w:eastAsia="en-US"/>
        </w:rPr>
        <w:t xml:space="preserve"> договора должен оплачивать в соответствии с условиями договора или на иных основаниях.</w:t>
      </w:r>
      <w:r>
        <w:rPr>
          <w:rFonts w:eastAsia="SimSun"/>
          <w:color w:val="000000"/>
          <w:lang w:eastAsia="en-US"/>
        </w:rPr>
      </w:r>
      <w:r>
        <w:rPr>
          <w:rFonts w:eastAsia="SimSun"/>
          <w:color w:val="000000"/>
          <w:lang w:eastAsia="en-US"/>
        </w:rPr>
      </w:r>
    </w:p>
    <w:p>
      <w:pPr>
        <w:jc w:val="both"/>
        <w:tabs>
          <w:tab w:val="left" w:pos="709" w:leader="none"/>
        </w:tabs>
        <w:rPr>
          <w:rFonts w:eastAsia="SimSun"/>
          <w:color w:val="000000"/>
          <w:lang w:eastAsia="en-US"/>
        </w:rPr>
      </w:pPr>
      <w:r>
        <w:rPr>
          <w:rFonts w:eastAsia="SimSun"/>
          <w:color w:val="000000"/>
          <w:lang w:eastAsia="en-US"/>
        </w:rPr>
        <w:t xml:space="preserve">             </w:t>
      </w:r>
      <w:r>
        <w:rPr>
          <w:rFonts w:eastAsia="SimSun"/>
          <w:color w:val="000000"/>
          <w:lang w:eastAsia="en-US"/>
        </w:rPr>
        <w:t xml:space="preserve">Цена договора установлена в размере максимальной (предельной) стоимости </w:t>
      </w:r>
      <w:r>
        <w:rPr>
          <w:rFonts w:eastAsia="SimSun"/>
          <w:color w:val="000000"/>
          <w:lang w:eastAsia="en-US"/>
        </w:rPr>
        <w:t xml:space="preserve">закупки и составляет 223 260 (Двести двадцать три тысячи двести шестьдесят</w:t>
      </w:r>
      <w:r>
        <w:rPr>
          <w:rFonts w:eastAsia="SimSun"/>
          <w:color w:val="000000"/>
          <w:lang w:eastAsia="en-US"/>
        </w:rPr>
        <w:t xml:space="preserve">) рублей</w:t>
      </w:r>
      <w:r>
        <w:rPr>
          <w:rFonts w:eastAsia="SimSun"/>
          <w:color w:val="000000"/>
          <w:lang w:eastAsia="en-US"/>
        </w:rPr>
        <w:t xml:space="preserve"> 00 копеек</w:t>
      </w:r>
      <w:r>
        <w:rPr>
          <w:rFonts w:eastAsia="SimSun"/>
          <w:color w:val="000000"/>
          <w:lang w:eastAsia="en-US"/>
        </w:rPr>
        <w:t xml:space="preserve"> с НДС.</w:t>
      </w:r>
      <w:r>
        <w:rPr>
          <w:rFonts w:eastAsia="SimSun"/>
          <w:color w:val="000000"/>
          <w:lang w:eastAsia="en-US"/>
        </w:rPr>
      </w:r>
      <w:r>
        <w:rPr>
          <w:rFonts w:eastAsia="SimSun"/>
          <w:color w:val="000000"/>
          <w:lang w:eastAsia="en-US"/>
        </w:rPr>
      </w:r>
    </w:p>
    <w:p>
      <w:pPr>
        <w:jc w:val="both"/>
        <w:tabs>
          <w:tab w:val="left" w:pos="709" w:leader="none"/>
        </w:tabs>
        <w:rPr>
          <w:rFonts w:eastAsia="SimSun"/>
          <w:color w:val="000000"/>
          <w:lang w:eastAsia="en-US"/>
        </w:rPr>
      </w:pPr>
      <w:r>
        <w:rPr>
          <w:rFonts w:eastAsia="SimSun"/>
          <w:color w:val="000000"/>
          <w:lang w:eastAsia="en-US"/>
        </w:rPr>
        <w:t xml:space="preserve">Превышение цены за единицу продукции согласно Приложению №1.1. – Расчет НМЦ (Единичные расценки) к Техническому заданию не допускается.</w:t>
      </w:r>
      <w:r>
        <w:rPr>
          <w:rFonts w:eastAsia="SimSun"/>
          <w:color w:val="000000"/>
          <w:lang w:eastAsia="en-US"/>
        </w:rPr>
      </w:r>
      <w:r>
        <w:rPr>
          <w:rFonts w:eastAsia="SimSun"/>
          <w:color w:val="000000"/>
          <w:lang w:eastAsia="en-US"/>
        </w:rPr>
      </w:r>
    </w:p>
    <w:p>
      <w:pPr>
        <w:pStyle w:val="967"/>
        <w:ind w:left="0" w:right="0" w:firstLine="709"/>
        <w:spacing w:after="0" w:line="240" w:lineRule="auto"/>
      </w:pPr>
      <w:r>
        <w:t xml:space="preserve">Цена договора, предлагаемая участником закупки, не может превышать и быть ниже начальной (максимальной) цены договора, указанной в пункте 1.7 Технического задания</w:t>
      </w:r>
      <w:r/>
    </w:p>
    <w:p>
      <w:pPr>
        <w:pStyle w:val="967"/>
        <w:ind w:left="0" w:right="0" w:firstLine="709"/>
        <w:spacing w:after="0" w:line="240" w:lineRule="auto"/>
        <w:rPr>
          <w:szCs w:val="24"/>
        </w:rPr>
      </w:pPr>
      <w:r>
        <w:rPr>
          <w:b/>
          <w:szCs w:val="24"/>
        </w:rPr>
      </w:r>
      <w:r>
        <w:rPr>
          <w:szCs w:val="24"/>
        </w:rPr>
        <w:t xml:space="preserve">Стоимость единичных расценок ремонта въездных ворот</w:t>
      </w:r>
      <w:r>
        <w:rPr>
          <w:szCs w:val="24"/>
        </w:rPr>
        <w:t xml:space="preserve"> по каждому виду работ не должна превышать максимальную стоимость единичных расценок заказчика, приведенных в</w:t>
      </w:r>
      <w:r>
        <w:rPr>
          <w:szCs w:val="24"/>
        </w:rPr>
        <w:t xml:space="preserve"> </w:t>
      </w:r>
      <w:r>
        <w:rPr>
          <w:szCs w:val="24"/>
        </w:rPr>
        <w:t xml:space="preserve">Таблице 1</w:t>
      </w:r>
      <w:r>
        <w:rPr>
          <w:szCs w:val="24"/>
        </w:rPr>
      </w:r>
      <w:r>
        <w:rPr>
          <w:szCs w:val="24"/>
        </w:rPr>
      </w:r>
    </w:p>
    <w:p>
      <w:pPr>
        <w:pStyle w:val="967"/>
        <w:ind w:left="0" w:right="0" w:firstLine="0"/>
        <w:jc w:val="right"/>
        <w:spacing w:after="200" w:line="276" w:lineRule="auto"/>
        <w:rPr>
          <w:sz w:val="22"/>
          <w:szCs w:val="22"/>
          <w:highlight w:val="none"/>
        </w:rPr>
      </w:pPr>
      <w:r>
        <w:rPr>
          <w:sz w:val="22"/>
          <w:szCs w:val="24"/>
        </w:rPr>
        <w:t xml:space="preserve">Таблица 1</w:t>
      </w:r>
      <w:r>
        <w:rPr>
          <w:sz w:val="22"/>
          <w:szCs w:val="22"/>
          <w:highlight w:val="none"/>
        </w:rPr>
      </w:r>
      <w:r>
        <w:rPr>
          <w:sz w:val="22"/>
          <w:szCs w:val="22"/>
          <w:highlight w:val="none"/>
        </w:rPr>
      </w:r>
    </w:p>
    <w:tbl>
      <w:tblPr>
        <w:tblW w:w="978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61"/>
        <w:gridCol w:w="3925"/>
        <w:gridCol w:w="1209"/>
        <w:gridCol w:w="2043"/>
      </w:tblGrid>
      <w:tr>
        <w:tblPrEx/>
        <w:trPr>
          <w:trHeight w:val="468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1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№ п/п</w:t>
            </w:r>
            <w:r>
              <w:rPr>
                <w:b/>
                <w:bCs/>
                <w:sz w:val="22"/>
                <w:szCs w:val="22"/>
              </w:rPr>
            </w: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925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Виды работ</w:t>
            </w:r>
            <w:r>
              <w:rPr>
                <w:b/>
                <w:bCs/>
                <w:sz w:val="22"/>
                <w:szCs w:val="22"/>
              </w:rPr>
            </w: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09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Единичный показатель </w:t>
            </w:r>
            <w:r>
              <w:rPr>
                <w:b/>
                <w:bCs/>
                <w:sz w:val="22"/>
                <w:szCs w:val="22"/>
              </w:rPr>
            </w: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043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Максимальная стоимость единичной расценки Заказчика (руб.) без НДС</w:t>
            </w:r>
            <w:r>
              <w:rPr>
                <w:b/>
                <w:bCs/>
                <w:sz w:val="22"/>
                <w:szCs w:val="22"/>
              </w:rPr>
            </w:r>
            <w:r>
              <w:rPr>
                <w:b/>
                <w:bCs/>
                <w:sz w:val="22"/>
                <w:szCs w:val="22"/>
              </w:rPr>
            </w:r>
          </w:p>
          <w:p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</w:r>
            <w:r>
              <w:rPr>
                <w:b/>
                <w:bCs/>
                <w:sz w:val="22"/>
                <w:szCs w:val="22"/>
              </w:rPr>
            </w:r>
            <w:r>
              <w:rPr>
                <w:b/>
                <w:bCs/>
                <w:sz w:val="22"/>
                <w:szCs w:val="22"/>
              </w:rPr>
            </w:r>
          </w:p>
        </w:tc>
      </w:tr>
      <w:tr>
        <w:tblPrEx/>
        <w:trPr>
          <w:trHeight w:val="80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1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</w:t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925" w:type="dxa"/>
            <w:vAlign w:val="center"/>
            <w:textDirection w:val="lrTb"/>
            <w:noWrap w:val="false"/>
          </w:tcPr>
          <w:p>
            <w:r>
              <w:t xml:space="preserve">Приобретение материалов (вал,муфта, кронштейны, пружины)</w:t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09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Услуга</w:t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04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tabs>
                <w:tab w:val="left" w:pos="709" w:leader="none"/>
              </w:tabs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             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0,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 </w:t>
            </w:r>
            <w:r/>
          </w:p>
        </w:tc>
      </w:tr>
      <w:tr>
        <w:tblPrEx/>
        <w:trPr>
          <w:trHeight w:val="155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1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</w:t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925" w:type="dxa"/>
            <w:vAlign w:val="center"/>
            <w:textDirection w:val="lrTb"/>
            <w:noWrap w:val="false"/>
          </w:tcPr>
          <w:p>
            <w:r>
              <w:t xml:space="preserve">Демонтаж-монтаж ворот</w:t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09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Услуга </w:t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04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tabs>
                <w:tab w:val="left" w:pos="709" w:leader="none"/>
              </w:tabs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           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0,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0</w:t>
            </w:r>
            <w:r/>
          </w:p>
        </w:tc>
      </w:tr>
      <w:tr>
        <w:tblPrEx/>
        <w:trPr>
          <w:trHeight w:val="155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1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3</w:t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925" w:type="dxa"/>
            <w:vAlign w:val="center"/>
            <w:textDirection w:val="lrTb"/>
            <w:noWrap w:val="false"/>
          </w:tcPr>
          <w:p>
            <w:r>
              <w:t xml:space="preserve">Работы по замене пружин</w:t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09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Услуга </w:t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04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tabs>
                <w:tab w:val="left" w:pos="709" w:leader="none"/>
              </w:tabs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          15 000,00</w:t>
            </w:r>
            <w:r/>
          </w:p>
        </w:tc>
      </w:tr>
      <w:tr>
        <w:tblPrEx/>
        <w:trPr>
          <w:trHeight w:val="155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1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4</w:t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925" w:type="dxa"/>
            <w:vAlign w:val="center"/>
            <w:textDirection w:val="lrTb"/>
            <w:noWrap w:val="false"/>
          </w:tcPr>
          <w:p>
            <w:r>
              <w:t xml:space="preserve">Работы по замене вала</w:t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09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Услуга</w:t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04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tabs>
                <w:tab w:val="left" w:pos="709" w:leader="none"/>
              </w:tabs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            9 000,00</w:t>
            </w:r>
            <w:r/>
          </w:p>
        </w:tc>
      </w:tr>
      <w:tr>
        <w:tblPrEx/>
        <w:trPr>
          <w:trHeight w:val="155"/>
        </w:trPr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5</w:t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925" w:type="dxa"/>
            <w:vAlign w:val="center"/>
            <w:vMerge w:val="restart"/>
            <w:textDirection w:val="lrTb"/>
            <w:noWrap w:val="false"/>
          </w:tcPr>
          <w:p>
            <w:pPr>
              <w:jc w:val="left"/>
              <w:spacing w:before="0" w:after="0" w:line="57" w:lineRule="atLeast"/>
              <w:rPr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Транспортные услуги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Услуга </w:t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04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tabs>
                <w:tab w:val="left" w:pos="709" w:leader="none"/>
              </w:tabs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              3 000,00</w:t>
            </w:r>
            <w:r/>
          </w:p>
        </w:tc>
      </w:tr>
      <w:tr>
        <w:tblPrEx/>
        <w:trPr>
          <w:trHeight w:val="155"/>
        </w:trPr>
        <w:tc>
          <w:tcPr>
            <w:gridSpan w:val="3"/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9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Итого, с</w:t>
            </w:r>
            <w:r>
              <w:rPr>
                <w:b/>
                <w:bCs/>
                <w:sz w:val="22"/>
                <w:szCs w:val="22"/>
              </w:rPr>
              <w:t xml:space="preserve">уммарная ст</w:t>
            </w:r>
            <w:r>
              <w:rPr>
                <w:b/>
                <w:bCs/>
                <w:sz w:val="22"/>
                <w:szCs w:val="22"/>
              </w:rPr>
              <w:t xml:space="preserve">оимость ЕР (руб)</w:t>
            </w:r>
            <w:r>
              <w:rPr>
                <w:b/>
                <w:bCs/>
                <w:sz w:val="22"/>
                <w:szCs w:val="22"/>
              </w:rPr>
            </w: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043" w:type="dxa"/>
            <w:vAlign w:val="center"/>
            <w:textDirection w:val="lrTb"/>
            <w:noWrap w:val="false"/>
          </w:tcPr>
          <w:p>
            <w:pPr>
              <w:jc w:val="center"/>
              <w:tabs>
                <w:tab w:val="left" w:pos="709" w:leader="none"/>
              </w:tabs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              183 000,00</w:t>
            </w:r>
            <w:r>
              <w:rPr>
                <w:b/>
                <w:bCs/>
                <w:sz w:val="22"/>
                <w:szCs w:val="22"/>
              </w:rPr>
            </w:r>
            <w:r>
              <w:rPr>
                <w:b/>
                <w:bCs/>
                <w:sz w:val="22"/>
                <w:szCs w:val="22"/>
              </w:rPr>
            </w:r>
          </w:p>
        </w:tc>
      </w:tr>
    </w:tbl>
    <w:p>
      <w:pPr>
        <w:jc w:val="center"/>
        <w:tabs>
          <w:tab w:val="left" w:pos="709" w:leader="none"/>
        </w:tabs>
      </w:pPr>
      <w:r/>
      <w:r/>
    </w:p>
    <w:p>
      <w:pPr>
        <w:numPr>
          <w:ilvl w:val="1"/>
          <w:numId w:val="2"/>
        </w:numPr>
        <w:jc w:val="both"/>
        <w:tabs>
          <w:tab w:val="left" w:pos="709" w:leader="none"/>
        </w:tabs>
      </w:pPr>
      <w:r>
        <w:rPr>
          <w:b/>
        </w:rPr>
        <w:t xml:space="preserve">Условия оплаты. </w:t>
      </w:r>
      <w:r/>
    </w:p>
    <w:p>
      <w:pPr>
        <w:jc w:val="both"/>
        <w:tabs>
          <w:tab w:val="left" w:pos="709" w:leader="none"/>
        </w:tabs>
        <w:rPr>
          <w:highlight w:val="none"/>
        </w:rPr>
      </w:pPr>
      <w:r>
        <w:t xml:space="preserve">Оплата производится за услуги</w:t>
      </w:r>
      <w:r>
        <w:t xml:space="preserve"> по безналичному расчету путем перечисления денежных средств на расчет</w:t>
      </w:r>
      <w:r>
        <w:t xml:space="preserve">ный счет </w:t>
      </w:r>
      <w:r>
        <w:t xml:space="preserve">Исполнителя</w:t>
      </w:r>
      <w:r>
        <w:t xml:space="preserve"> в течение</w:t>
      </w:r>
      <w:r>
        <w:rPr>
          <w:highlight w:val="none"/>
        </w:rPr>
        <w:t xml:space="preserve"> 7 (семи</w:t>
      </w:r>
      <w:r>
        <w:rPr>
          <w:highlight w:val="none"/>
        </w:rPr>
        <w:t xml:space="preserve">) </w:t>
      </w:r>
      <w:r>
        <w:rPr>
          <w:highlight w:val="none"/>
        </w:rPr>
        <w:t xml:space="preserve">р</w:t>
      </w:r>
      <w:r>
        <w:t xml:space="preserve">абочих </w:t>
      </w:r>
      <w:r>
        <w:t xml:space="preserve">дней</w:t>
      </w:r>
      <w:r>
        <w:t xml:space="preserve"> со дня подписания </w:t>
      </w:r>
      <w:r>
        <w:t xml:space="preserve">Заказчиком</w:t>
      </w:r>
      <w:r>
        <w:t xml:space="preserve"> документа о приемке услуг</w:t>
      </w:r>
      <w:r>
        <w:t xml:space="preserve"> при наличии подписанного Сторонами Договора </w:t>
      </w:r>
      <w:r>
        <w:t xml:space="preserve">оказания услуг</w:t>
      </w:r>
      <w:r>
        <w:t xml:space="preserve"> в </w:t>
      </w:r>
      <w:r>
        <w:t xml:space="preserve">оригинале, в соответствии с п.4.3</w:t>
      </w:r>
      <w:r>
        <w:t xml:space="preserve"> Договора (Приложение №2 к настоящему ТЗ).</w:t>
      </w:r>
      <w:r>
        <w:rPr>
          <w:highlight w:val="none"/>
        </w:rPr>
      </w:r>
      <w:r>
        <w:rPr>
          <w:highlight w:val="none"/>
        </w:rPr>
      </w:r>
    </w:p>
    <w:p>
      <w:pPr>
        <w:numPr>
          <w:ilvl w:val="1"/>
          <w:numId w:val="2"/>
        </w:numPr>
        <w:ind w:left="0" w:firstLine="0"/>
        <w:jc w:val="both"/>
        <w:tabs>
          <w:tab w:val="left" w:pos="709" w:leader="none"/>
        </w:tabs>
        <w:rPr>
          <w:b/>
        </w:rPr>
      </w:pPr>
      <w:r>
        <w:rPr>
          <w:b/>
        </w:rPr>
        <w:t xml:space="preserve">Требования к организации и </w:t>
      </w:r>
      <w:r>
        <w:rPr>
          <w:b/>
        </w:rPr>
        <w:t xml:space="preserve">ведению работ</w:t>
      </w:r>
      <w:r>
        <w:rPr>
          <w:b/>
        </w:rPr>
        <w:t xml:space="preserve">/оказанию услуг</w:t>
      </w:r>
      <w:r>
        <w:rPr>
          <w:b/>
        </w:rPr>
        <w:t xml:space="preserve">:</w:t>
      </w:r>
      <w:r>
        <w:rPr>
          <w:b/>
        </w:rPr>
      </w:r>
      <w:r>
        <w:rPr>
          <w:b/>
        </w:rPr>
      </w:r>
    </w:p>
    <w:p>
      <w:pPr>
        <w:numPr>
          <w:ilvl w:val="2"/>
          <w:numId w:val="2"/>
        </w:numPr>
        <w:ind w:left="0" w:firstLine="0"/>
        <w:jc w:val="both"/>
        <w:tabs>
          <w:tab w:val="left" w:pos="709" w:leader="none"/>
        </w:tabs>
        <w:rPr>
          <w:b/>
        </w:rPr>
      </w:pPr>
      <w:r>
        <w:rPr>
          <w:b/>
        </w:rPr>
      </w:r>
      <w:r>
        <w:t xml:space="preserve">У</w:t>
      </w:r>
      <w:r>
        <w:t xml:space="preserve">слуги</w:t>
      </w:r>
      <w:r>
        <w:t xml:space="preserve"> должны быть выполнены</w:t>
      </w:r>
      <w:r>
        <w:rPr>
          <w:sz w:val="28"/>
          <w:szCs w:val="28"/>
        </w:rPr>
        <w:t xml:space="preserve"> </w:t>
      </w:r>
      <w:r>
        <w:t xml:space="preserve">в соответствии</w:t>
      </w:r>
      <w:r>
        <w:t xml:space="preserve"> с</w:t>
      </w:r>
      <w:r>
        <w:t xml:space="preserve"> настоящим техническим з</w:t>
      </w:r>
      <w:r>
        <w:t xml:space="preserve">аданием (далее – ТЗ), договором оказания услуг</w:t>
      </w:r>
      <w:r>
        <w:t xml:space="preserve"> (Приложение №</w:t>
      </w:r>
      <w:r>
        <w:t xml:space="preserve"> </w:t>
      </w:r>
      <w:r>
        <w:t xml:space="preserve">1</w:t>
      </w:r>
      <w:r>
        <w:t xml:space="preserve"> к настоящему ТЗ)</w:t>
      </w:r>
      <w:r>
        <w:t xml:space="preserve">.</w:t>
      </w:r>
      <w:r>
        <w:t xml:space="preserve"> </w:t>
      </w:r>
      <w:r>
        <w:rPr>
          <w:b/>
        </w:rPr>
      </w:r>
      <w:r>
        <w:rPr>
          <w:b/>
        </w:rPr>
      </w:r>
    </w:p>
    <w:p>
      <w:pPr>
        <w:numPr>
          <w:ilvl w:val="2"/>
          <w:numId w:val="2"/>
        </w:numPr>
        <w:ind w:left="0" w:firstLine="0"/>
        <w:jc w:val="both"/>
        <w:tabs>
          <w:tab w:val="left" w:pos="709" w:leader="none"/>
        </w:tabs>
      </w:pPr>
      <w:r>
        <w:t xml:space="preserve">У</w:t>
      </w:r>
      <w:r>
        <w:t xml:space="preserve">слуги</w:t>
      </w:r>
      <w:r>
        <w:t xml:space="preserve"> должны быть выполнены с соблюдением </w:t>
      </w:r>
      <w:r>
        <w:t xml:space="preserve">требований,</w:t>
      </w:r>
      <w:r>
        <w:t xml:space="preserve"> действующих РД, СП, СНиП, требованиями ПУЭ, действующим законодательством Российской Федерации.</w:t>
      </w:r>
      <w:r/>
    </w:p>
    <w:p>
      <w:pPr>
        <w:numPr>
          <w:ilvl w:val="2"/>
          <w:numId w:val="2"/>
        </w:numPr>
        <w:ind w:left="0" w:firstLine="0"/>
        <w:jc w:val="both"/>
        <w:tabs>
          <w:tab w:val="left" w:pos="709" w:leader="none"/>
        </w:tabs>
      </w:pPr>
      <w:r>
        <w:rPr>
          <w:highlight w:val="none"/>
        </w:rPr>
        <w:t xml:space="preserve">И</w:t>
      </w:r>
      <w:r>
        <w:rPr>
          <w:highlight w:val="none"/>
        </w:rPr>
        <w:t xml:space="preserve">сполнитель должен самостоятельно (без привлечения субподрядчиков) оказывать услуги, общая стоимость которых должна составлять не менее 50% от цены, указанной в заявке, без учета стоимости материалов и оборудования, приобретаемых Исполнителем в соответствии</w:t>
      </w:r>
      <w:r>
        <w:rPr>
          <w:highlight w:val="none"/>
        </w:rPr>
        <w:t xml:space="preserve"> с п.2.1. Договора (Приложение №2 к настоящему ТЗ).</w:t>
      </w:r>
      <w:r>
        <w:rPr>
          <w:highlight w:val="none"/>
        </w:rPr>
      </w:r>
      <w:r/>
    </w:p>
    <w:p>
      <w:pPr>
        <w:ind w:left="450" w:firstLine="0"/>
        <w:jc w:val="both"/>
        <w:tabs>
          <w:tab w:val="left" w:pos="709" w:leader="none"/>
        </w:tabs>
      </w:pPr>
      <w:r>
        <w:rPr>
          <w:highlight w:val="none"/>
        </w:rPr>
      </w:r>
      <w:r>
        <w:rPr>
          <w:highlight w:val="none"/>
        </w:rPr>
      </w:r>
      <w:r/>
    </w:p>
    <w:p>
      <w:pPr>
        <w:pStyle w:val="977"/>
        <w:numPr>
          <w:ilvl w:val="0"/>
          <w:numId w:val="2"/>
        </w:numPr>
        <w:ind w:left="0" w:firstLine="0"/>
        <w:jc w:val="both"/>
        <w:pageBreakBefore w:val="0"/>
        <w:tabs>
          <w:tab w:val="left" w:pos="709" w:leader="none"/>
        </w:tabs>
        <w:rPr>
          <w:rFonts w:eastAsia="SimSun"/>
          <w:szCs w:val="24"/>
        </w:rPr>
      </w:pPr>
      <w:r>
        <w:rPr>
          <w:rFonts w:eastAsia="SimSun"/>
          <w:szCs w:val="24"/>
        </w:rPr>
        <w:t xml:space="preserve">Организационно-технические требования к Участникам закупки:</w:t>
      </w:r>
      <w:r>
        <w:rPr>
          <w:rFonts w:eastAsia="SimSun"/>
          <w:szCs w:val="24"/>
        </w:rPr>
      </w:r>
      <w:r>
        <w:rPr>
          <w:rFonts w:eastAsia="SimSun"/>
          <w:szCs w:val="24"/>
        </w:rPr>
      </w:r>
    </w:p>
    <w:p>
      <w:pPr>
        <w:pStyle w:val="978"/>
        <w:numPr>
          <w:ilvl w:val="1"/>
          <w:numId w:val="2"/>
        </w:numPr>
      </w:pPr>
      <w:r>
        <w:t xml:space="preserve">Участник закупки должен соответствовать следующим обязательным требованиям (отборочные требования):</w:t>
      </w:r>
      <w:r/>
    </w:p>
    <w:p>
      <w:pPr>
        <w:pStyle w:val="978"/>
        <w:numPr>
          <w:ilvl w:val="1"/>
          <w:numId w:val="2"/>
        </w:numPr>
        <w:rPr>
          <w:rFonts w:eastAsia="MS Mincho"/>
          <w:b w:val="0"/>
          <w:lang w:eastAsia="ja-JP"/>
        </w:rPr>
      </w:pPr>
      <w:r>
        <w:rPr>
          <w:rFonts w:eastAsia="MS Mincho"/>
          <w:b w:val="0"/>
          <w:lang w:eastAsia="ja-JP"/>
        </w:rPr>
        <w:t xml:space="preserve">Техническое предложение участника закупки, в том числе предложение по кач</w:t>
      </w:r>
      <w:r>
        <w:rPr>
          <w:rFonts w:eastAsia="MS Mincho"/>
          <w:b w:val="0"/>
          <w:lang w:eastAsia="ja-JP"/>
        </w:rPr>
        <w:t xml:space="preserve">еству выполнения</w:t>
      </w:r>
      <w:r>
        <w:rPr>
          <w:rFonts w:eastAsia="MS Mincho"/>
          <w:b w:val="0"/>
          <w:lang w:eastAsia="ja-JP"/>
        </w:rPr>
        <w:t xml:space="preserve"> услуг должно соответствовать требованиям Технического задания («Техническая часть» Документации).</w:t>
      </w:r>
      <w:r>
        <w:rPr>
          <w:rFonts w:eastAsia="MS Mincho"/>
          <w:b w:val="0"/>
          <w:lang w:eastAsia="ja-JP"/>
        </w:rPr>
      </w:r>
      <w:r>
        <w:rPr>
          <w:rFonts w:eastAsia="MS Mincho"/>
          <w:b w:val="0"/>
          <w:lang w:eastAsia="ja-JP"/>
        </w:rPr>
      </w:r>
    </w:p>
    <w:p>
      <w:pPr>
        <w:pStyle w:val="978"/>
        <w:numPr>
          <w:ilvl w:val="1"/>
          <w:numId w:val="2"/>
        </w:numPr>
        <w:rPr>
          <w:rFonts w:eastAsia="MS Mincho"/>
          <w:b w:val="0"/>
          <w:lang w:eastAsia="ja-JP"/>
        </w:rPr>
      </w:pPr>
      <w:r>
        <w:rPr>
          <w:rFonts w:eastAsia="MS Mincho"/>
          <w:b w:val="0"/>
          <w:lang w:eastAsia="ja-JP"/>
        </w:rPr>
        <w:t xml:space="preserve">Иметь в составе заявки комплект документов, перечисленный в п.3 настоящего ТЗ.</w:t>
      </w:r>
      <w:r>
        <w:rPr>
          <w:rFonts w:eastAsia="MS Mincho"/>
          <w:b w:val="0"/>
          <w:lang w:eastAsia="ja-JP"/>
        </w:rPr>
      </w:r>
      <w:r>
        <w:rPr>
          <w:rFonts w:eastAsia="MS Mincho"/>
          <w:b w:val="0"/>
          <w:lang w:eastAsia="ja-JP"/>
        </w:rPr>
      </w:r>
    </w:p>
    <w:p>
      <w:pPr>
        <w:pStyle w:val="979"/>
        <w:numPr>
          <w:ilvl w:val="1"/>
          <w:numId w:val="2"/>
        </w:numPr>
        <w:contextualSpacing/>
        <w:spacing w:before="0"/>
        <w:tabs>
          <w:tab w:val="left" w:pos="709" w:leader="none"/>
        </w:tabs>
        <w:rPr>
          <w:rFonts w:eastAsia="SimSun"/>
        </w:rPr>
      </w:pPr>
      <w:r>
        <w:t xml:space="preserve">Участником закупки могут быть только су</w:t>
      </w:r>
      <w:r>
        <w:t xml:space="preserve">бъекты малого и среднего предпринимательства, в соответствии с Постановлением Правительства РФ от 11.12.2014 №1352 "Об особенностях участия субъектов малого и среднего предпринимательства в закупках товаров, работ, услуг отдельными видами юридических лиц".</w:t>
      </w:r>
      <w:r>
        <w:rPr>
          <w:rFonts w:eastAsia="SimSun"/>
        </w:rPr>
      </w:r>
      <w:r>
        <w:rPr>
          <w:rFonts w:eastAsia="SimSun"/>
        </w:rPr>
      </w:r>
    </w:p>
    <w:p>
      <w:pPr>
        <w:pStyle w:val="979"/>
        <w:numPr>
          <w:ilvl w:val="0"/>
          <w:numId w:val="0"/>
        </w:numPr>
        <w:contextualSpacing/>
        <w:ind w:left="450" w:firstLine="0"/>
        <w:spacing w:before="0"/>
        <w:tabs>
          <w:tab w:val="left" w:pos="709" w:leader="none"/>
        </w:tabs>
        <w:rPr>
          <w:rFonts w:eastAsia="SimSun"/>
        </w:rPr>
      </w:pPr>
      <w:r>
        <w:rPr>
          <w:rFonts w:eastAsia="SimSun"/>
          <w:highlight w:val="none"/>
        </w:rPr>
        <w:t xml:space="preserve"> </w:t>
      </w:r>
      <w:r>
        <w:rPr>
          <w:rFonts w:eastAsia="SimSun"/>
        </w:rPr>
      </w:r>
      <w:r>
        <w:rPr>
          <w:rFonts w:eastAsia="SimSun"/>
        </w:rPr>
      </w:r>
    </w:p>
    <w:p>
      <w:pPr>
        <w:pStyle w:val="977"/>
        <w:numPr>
          <w:ilvl w:val="0"/>
          <w:numId w:val="2"/>
        </w:numPr>
        <w:ind w:left="0" w:firstLine="0"/>
        <w:jc w:val="both"/>
        <w:pageBreakBefore w:val="0"/>
        <w:tabs>
          <w:tab w:val="left" w:pos="709" w:leader="none"/>
        </w:tabs>
        <w:rPr>
          <w:rFonts w:eastAsia="SimSun"/>
          <w:szCs w:val="24"/>
        </w:rPr>
      </w:pPr>
      <w:r>
        <w:rPr>
          <w:rFonts w:eastAsia="SimSun"/>
          <w:szCs w:val="24"/>
        </w:rPr>
        <w:t xml:space="preserve">Перечень технических документов, обязательно предоставляемых Участниками в составе заявки на закупку:</w:t>
      </w:r>
      <w:r>
        <w:rPr>
          <w:rFonts w:eastAsia="SimSun"/>
          <w:szCs w:val="24"/>
        </w:rPr>
      </w:r>
      <w:r>
        <w:rPr>
          <w:rFonts w:eastAsia="SimSun"/>
          <w:szCs w:val="24"/>
        </w:rPr>
      </w:r>
    </w:p>
    <w:p>
      <w:pPr>
        <w:pStyle w:val="949"/>
        <w:numPr>
          <w:ilvl w:val="1"/>
          <w:numId w:val="2"/>
        </w:numPr>
        <w:ind w:left="0" w:firstLine="0"/>
        <w:jc w:val="both"/>
        <w:rPr>
          <w:rFonts w:eastAsia="Calibri"/>
          <w:szCs w:val="20"/>
          <w:lang w:eastAsia="en-US"/>
        </w:rPr>
      </w:pPr>
      <w:r>
        <w:rPr>
          <w:rFonts w:eastAsia="Calibri"/>
          <w:szCs w:val="20"/>
          <w:lang w:eastAsia="en-US"/>
        </w:rPr>
        <w:t xml:space="preserve">Техническое пр</w:t>
      </w:r>
      <w:r>
        <w:rPr>
          <w:rFonts w:eastAsia="Calibri"/>
          <w:szCs w:val="20"/>
          <w:lang w:eastAsia="en-US"/>
        </w:rPr>
        <w:t xml:space="preserve">едложение, заполненное Участником по форме и в соответствии с инструкциями Приложения №3 к Техническому заданию, с указанием информации о соответствии своего предложения техническим требованиям в объеме, достаточном для анализа выполнения всех требований. </w:t>
      </w:r>
      <w:r>
        <w:rPr>
          <w:rFonts w:eastAsia="Calibri"/>
          <w:szCs w:val="20"/>
          <w:lang w:eastAsia="en-US"/>
        </w:rPr>
      </w:r>
      <w:r>
        <w:rPr>
          <w:rFonts w:eastAsia="Calibri"/>
          <w:szCs w:val="20"/>
          <w:lang w:eastAsia="en-US"/>
        </w:rPr>
      </w:r>
    </w:p>
    <w:p>
      <w:pPr>
        <w:pStyle w:val="979"/>
        <w:numPr>
          <w:ilvl w:val="1"/>
          <w:numId w:val="2"/>
        </w:numPr>
        <w:ind w:left="0" w:firstLine="0"/>
        <w:spacing w:before="0" w:after="0"/>
        <w:tabs>
          <w:tab w:val="left" w:pos="567" w:leader="none"/>
          <w:tab w:val="left" w:pos="1701" w:leader="none"/>
        </w:tabs>
        <w:rPr>
          <w:rFonts w:eastAsia="Calibri"/>
          <w:lang w:eastAsia="en-US"/>
        </w:rPr>
      </w:pPr>
      <w:r>
        <w:t xml:space="preserve">В составе ценового предложения Участник д</w:t>
      </w:r>
      <w:r>
        <w:t xml:space="preserve">олжен предоставить Приложение №4</w:t>
      </w:r>
      <w:r>
        <w:t xml:space="preserve"> к Техническому з</w:t>
      </w:r>
      <w:r>
        <w:t xml:space="preserve">аданию – Расчет стоимости </w:t>
      </w:r>
      <w:r>
        <w:t xml:space="preserve">услуг, </w:t>
      </w:r>
      <w:r>
        <w:rPr>
          <w:rFonts w:eastAsia="Calibri"/>
          <w:lang w:eastAsia="en-US"/>
        </w:rPr>
        <w:t xml:space="preserve">заполненное строго по форме Заказчика:</w:t>
      </w: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p>
      <w:pPr>
        <w:pStyle w:val="979"/>
        <w:numPr>
          <w:ilvl w:val="2"/>
          <w:numId w:val="2"/>
        </w:numPr>
        <w:ind w:left="0" w:firstLine="0"/>
        <w:spacing w:before="0" w:after="0"/>
        <w:tabs>
          <w:tab w:val="left" w:pos="709" w:leader="none"/>
          <w:tab w:val="left" w:pos="1701" w:leader="none"/>
        </w:tabs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Не допускается изменять форму </w:t>
      </w:r>
      <w:r>
        <w:t xml:space="preserve">Приложение №</w:t>
      </w:r>
      <w:r>
        <w:t xml:space="preserve">4</w:t>
      </w:r>
      <w:r>
        <w:t xml:space="preserve"> к Техническому заданию -</w:t>
      </w:r>
      <w:r>
        <w:rPr>
          <w:rFonts w:eastAsia="Calibri"/>
          <w:lang w:eastAsia="en-US"/>
        </w:rPr>
        <w:t xml:space="preserve"> </w:t>
      </w:r>
      <w:r>
        <w:t xml:space="preserve">Расчет стоимости </w:t>
      </w:r>
      <w:r>
        <w:t xml:space="preserve">услуг</w:t>
      </w:r>
      <w:r>
        <w:rPr>
          <w:rFonts w:eastAsia="Calibri"/>
          <w:lang w:eastAsia="en-US"/>
        </w:rPr>
        <w:t xml:space="preserve">. </w:t>
      </w: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p>
      <w:pPr>
        <w:pStyle w:val="979"/>
        <w:numPr>
          <w:ilvl w:val="2"/>
          <w:numId w:val="2"/>
        </w:numPr>
        <w:ind w:left="0" w:firstLine="0"/>
        <w:spacing w:before="0" w:after="0"/>
        <w:tabs>
          <w:tab w:val="left" w:pos="709" w:leader="none"/>
          <w:tab w:val="left" w:pos="1701" w:leader="none"/>
        </w:tabs>
        <w:rPr>
          <w:rFonts w:eastAsia="Calibri"/>
          <w:lang w:eastAsia="en-US"/>
        </w:rPr>
      </w:pPr>
      <w:r>
        <w:t xml:space="preserve">Цена заявки, объявленная Участником, признанным победителем, является окончательной, неизменной и включает в себя все расходы, в том числе на выплату налогов, оплату всех прочих услуг и затрат.</w:t>
      </w: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p>
      <w:pPr>
        <w:pStyle w:val="979"/>
        <w:numPr>
          <w:ilvl w:val="2"/>
          <w:numId w:val="2"/>
        </w:numPr>
        <w:ind w:left="0" w:firstLine="0"/>
        <w:spacing w:before="0" w:after="0"/>
        <w:tabs>
          <w:tab w:val="left" w:pos="709" w:leader="none"/>
          <w:tab w:val="left" w:pos="1701" w:leader="none"/>
        </w:tabs>
        <w:rPr>
          <w:rFonts w:eastAsia="Calibri"/>
          <w:lang w:eastAsia="en-US"/>
        </w:rPr>
      </w:pPr>
      <w:r>
        <w:t xml:space="preserve">Несоответствие Расчета стоимости</w:t>
      </w:r>
      <w:r>
        <w:t xml:space="preserve"> </w:t>
      </w:r>
      <w:r>
        <w:t xml:space="preserve">услуг</w:t>
      </w:r>
      <w:r>
        <w:t xml:space="preserve">, предоставленного Участником в составе заявки, указанным требования является основанием для отклонения заявки Участника.</w:t>
      </w: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p>
      <w:pPr>
        <w:pStyle w:val="979"/>
        <w:numPr>
          <w:ilvl w:val="0"/>
          <w:numId w:val="0"/>
        </w:numPr>
        <w:ind w:left="450" w:firstLine="0"/>
        <w:spacing w:before="0" w:after="0"/>
        <w:tabs>
          <w:tab w:val="left" w:pos="709" w:leader="none"/>
          <w:tab w:val="left" w:pos="1701" w:leader="none"/>
        </w:tabs>
        <w:rPr>
          <w:rFonts w:eastAsia="Calibri"/>
          <w:lang w:eastAsia="en-US"/>
        </w:rPr>
      </w:pPr>
      <w:r>
        <w:rPr>
          <w:rFonts w:eastAsia="Calibri"/>
          <w:highlight w:val="none"/>
          <w:lang w:eastAsia="en-US"/>
        </w:rPr>
      </w: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p>
      <w:pPr>
        <w:pStyle w:val="949"/>
        <w:numPr>
          <w:ilvl w:val="0"/>
          <w:numId w:val="2"/>
        </w:numPr>
        <w:ind w:left="0" w:firstLine="0"/>
        <w:jc w:val="both"/>
        <w:keepLines/>
        <w:spacing w:before="120" w:after="120"/>
        <w:tabs>
          <w:tab w:val="left" w:pos="709" w:leader="none"/>
        </w:tabs>
        <w:rPr>
          <w:b/>
        </w:rPr>
      </w:pPr>
      <w:r>
        <w:rPr>
          <w:b/>
        </w:rPr>
        <w:t xml:space="preserve">Выбор победителя закупки</w:t>
      </w:r>
      <w:r>
        <w:rPr>
          <w:b/>
        </w:rPr>
      </w:r>
      <w:r>
        <w:rPr>
          <w:b/>
        </w:rPr>
      </w:r>
    </w:p>
    <w:p>
      <w:pPr>
        <w:pStyle w:val="972"/>
        <w:ind w:firstLine="709"/>
        <w:jc w:val="both"/>
        <w:rPr>
          <w:sz w:val="24"/>
          <w:szCs w:val="24"/>
          <w:highlight w:val="none"/>
        </w:rPr>
      </w:pPr>
      <w:r>
        <w:rPr>
          <w:sz w:val="24"/>
          <w:szCs w:val="24"/>
        </w:rPr>
        <w:t xml:space="preserve">Единственным критерием для определения Победителя является наименьшая суммарн</w:t>
      </w:r>
      <w:r>
        <w:rPr>
          <w:sz w:val="24"/>
          <w:szCs w:val="24"/>
        </w:rPr>
        <w:t xml:space="preserve">ая стоимость единичных расценок, </w:t>
      </w:r>
      <w:r>
        <w:rPr>
          <w:sz w:val="24"/>
          <w:szCs w:val="24"/>
        </w:rPr>
        <w:t xml:space="preserve">при условии соответствия самой заявки условиям сравнения цен.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972"/>
        <w:ind w:firstLine="709"/>
        <w:jc w:val="both"/>
        <w:rPr>
          <w:sz w:val="24"/>
          <w:szCs w:val="24"/>
          <w:highlight w:val="none"/>
        </w:rPr>
      </w:pPr>
      <w:r>
        <w:rPr>
          <w:sz w:val="24"/>
          <w:szCs w:val="24"/>
        </w:rPr>
        <w:t xml:space="preserve">Если Правительством Российской Федерации в соответствии с законодательством о порядке применения национального режима установлено преимущество в отношении работ, услуг, соответственно выполняемых, оказываемых российским лицом: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972"/>
        <w:ind w:firstLine="709"/>
        <w:jc w:val="both"/>
        <w:rPr>
          <w:sz w:val="24"/>
          <w:szCs w:val="24"/>
        </w:rPr>
      </w:pPr>
      <w:r>
        <w:rPr>
          <w:sz w:val="24"/>
          <w:szCs w:val="24"/>
          <w:highlight w:val="none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72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а) при рассмотрении, оценке, сопоставлении заявок на участие в конкурентной закупке, заявок на участие в неконкурентной закупке, окончательных предложений осуществляется снижение на 15 (пятнадцать) % ценового предложения, поданного в соответствии с </w:t>
      </w:r>
      <w:r>
        <w:rPr>
          <w:sz w:val="24"/>
          <w:szCs w:val="24"/>
        </w:rPr>
        <w:t xml:space="preserve">Законом 223-ФЗ и Стандартом участником закупки, являющимся российским лицом, либо увеличение на 15 (пятнадцать) % ценового предложения этого участника закупки в случае подачи им предложения о размере платы, подлежащей внесению за заключение с ним договора;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72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б) в случае заключения договора с участником закупки, указанным в пп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72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в) перемена подрядчика (исполнителя) (в случае, если эта перемена допускается гражданским законодательством), с которым заключен договор, допускается исключительно на российское лицо, если договор заключен с российским лицом.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72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72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7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Приложение 1 (обязательное).  Обоснование начальной (максимальной) цены договора (форма).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7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Приложение 2 (обязательное). Проект договора (форма).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7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Приложение 3 (обязательное). Техническое предложение (форма).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rPr>
          <w:rStyle w:val="969"/>
          <w:rFonts w:ascii="Times New Roman" w:hAnsi="Times New Roman" w:cs="Times New Roman"/>
          <w:b/>
          <w:bCs/>
          <w:i/>
          <w:color w:val="ff0000"/>
          <w:sz w:val="24"/>
          <w:szCs w:val="24"/>
        </w:rPr>
      </w:pPr>
      <w:r>
        <w:t xml:space="preserve">Приложение 4 (обязательное). Расчет стоимости работ/услуг.</w:t>
      </w:r>
      <w:r>
        <w:rPr>
          <w:rStyle w:val="969"/>
          <w:rFonts w:ascii="Times New Roman" w:hAnsi="Times New Roman" w:cs="Times New Roman"/>
          <w:b/>
          <w:bCs/>
          <w:i/>
          <w:color w:val="ff0000"/>
          <w:sz w:val="24"/>
          <w:szCs w:val="24"/>
        </w:rPr>
      </w:r>
      <w:bookmarkStart w:id="178" w:name="_Toc439063132"/>
      <w:r/>
      <w:bookmarkEnd w:id="178"/>
      <w:r/>
      <w:bookmarkStart w:id="181" w:name="_Toc8120155"/>
      <w:r/>
      <w:bookmarkEnd w:id="181"/>
      <w:r>
        <w:rPr>
          <w:rStyle w:val="969"/>
          <w:rFonts w:ascii="Times New Roman" w:hAnsi="Times New Roman" w:cs="Times New Roman"/>
          <w:b/>
          <w:bCs/>
          <w:i/>
          <w:color w:val="ff0000"/>
          <w:sz w:val="24"/>
          <w:szCs w:val="24"/>
        </w:rPr>
      </w:r>
      <w:r>
        <w:rPr>
          <w:rStyle w:val="969"/>
          <w:rFonts w:ascii="Times New Roman" w:hAnsi="Times New Roman" w:cs="Times New Roman"/>
          <w:b/>
          <w:bCs/>
          <w:i/>
          <w:color w:val="ff0000"/>
          <w:sz w:val="24"/>
          <w:szCs w:val="24"/>
        </w:rPr>
      </w:r>
    </w:p>
    <w:p>
      <w:pPr>
        <w:pStyle w:val="949"/>
        <w:ind w:left="450"/>
        <w:jc w:val="both"/>
        <w:tabs>
          <w:tab w:val="left" w:pos="360" w:leader="none"/>
          <w:tab w:val="left" w:pos="993" w:leader="none"/>
        </w:tabs>
        <w:rPr>
          <w:bCs/>
          <w:color w:val="000000"/>
        </w:rPr>
      </w:pPr>
      <w:r>
        <w:rPr>
          <w:bCs/>
          <w:color w:val="000000"/>
        </w:rPr>
      </w:r>
      <w:r>
        <w:rPr>
          <w:bCs/>
          <w:color w:val="000000"/>
        </w:rPr>
      </w:r>
      <w:r>
        <w:rPr>
          <w:bCs/>
          <w:color w:val="000000"/>
        </w:rPr>
      </w:r>
    </w:p>
    <w:p>
      <w:pPr>
        <w:ind w:right="76"/>
        <w:jc w:val="both"/>
        <w:rPr>
          <w:b/>
          <w:bCs/>
          <w:highlight w:val="none"/>
        </w:rPr>
      </w:pPr>
      <w:r>
        <w:rPr>
          <w:b/>
        </w:rPr>
        <w:t xml:space="preserve">Все приложения к настоящему Техническому заданию являются его неотъемлемой частью и изменению не подлежат.</w:t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ind w:right="76"/>
        <w:jc w:val="both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ind w:right="76"/>
        <w:jc w:val="both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jc w:val="left"/>
        <w:spacing w:line="276" w:lineRule="auto"/>
        <w:rPr>
          <w:b/>
          <w:bCs/>
          <w:highlight w:val="none"/>
        </w:rPr>
      </w:pPr>
      <w:r>
        <w:rPr>
          <w:highlight w:val="none"/>
        </w:rPr>
        <w:t xml:space="preserve">Техническое задание </w:t>
      </w:r>
      <w:r>
        <w:rPr>
          <w:b w:val="0"/>
          <w:bCs w:val="0"/>
          <w:highlight w:val="none"/>
        </w:rPr>
        <w:t xml:space="preserve">с</w:t>
      </w:r>
      <w:r>
        <w:rPr>
          <w:b w:val="0"/>
          <w:bCs w:val="0"/>
          <w:highlight w:val="none"/>
        </w:rPr>
        <w:t xml:space="preserve">оставил:</w:t>
      </w:r>
      <w:r>
        <w:rPr>
          <w:b/>
          <w:highlight w:val="none"/>
        </w:rPr>
        <w:tab/>
      </w:r>
      <w:r>
        <w:rPr>
          <w:b/>
          <w:highlight w:val="none"/>
        </w:rPr>
        <w:tab/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jc w:val="both"/>
        <w:tabs>
          <w:tab w:val="left" w:pos="0" w:leader="none"/>
          <w:tab w:val="left" w:pos="6220" w:leader="none"/>
        </w:tabs>
        <w:rPr>
          <w:b/>
          <w:highlight w:val="none"/>
        </w:rPr>
      </w:pPr>
      <w:r>
        <w:rPr>
          <w:b/>
          <w:highlight w:val="none"/>
        </w:rPr>
      </w:r>
      <w:r>
        <w:rPr>
          <w:b/>
          <w:highlight w:val="none"/>
        </w:rPr>
      </w:r>
      <w:r>
        <w:rPr>
          <w:b/>
          <w:highlight w:val="none"/>
        </w:rPr>
      </w:r>
    </w:p>
    <w:tbl>
      <w:tblPr>
        <w:tblW w:w="9351" w:type="dxa"/>
        <w:tblLayout w:type="fixed"/>
        <w:tblLook w:val="0000" w:firstRow="0" w:lastRow="0" w:firstColumn="0" w:lastColumn="0" w:noHBand="0" w:noVBand="0"/>
      </w:tblPr>
      <w:tblGrid>
        <w:gridCol w:w="4368"/>
        <w:gridCol w:w="3036"/>
      </w:tblGrid>
      <w:tr>
        <w:tblPrEx/>
        <w:trPr>
          <w:cantSplit/>
          <w:trHeight w:val="374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6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sz w:val="20"/>
                <w:szCs w:val="20"/>
                <w:highlight w:val="none"/>
              </w:rPr>
            </w:pPr>
            <w:r>
              <w:rPr>
                <w:b/>
                <w:sz w:val="20"/>
                <w:szCs w:val="20"/>
                <w:highlight w:val="none"/>
              </w:rPr>
              <w:t xml:space="preserve">Должность, структурное подразделение</w:t>
            </w:r>
            <w:r>
              <w:rPr>
                <w:b/>
                <w:sz w:val="20"/>
                <w:szCs w:val="20"/>
                <w:highlight w:val="none"/>
              </w:rPr>
            </w:r>
            <w:r>
              <w:rPr>
                <w:b/>
                <w:sz w:val="20"/>
                <w:szCs w:val="20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3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sz w:val="20"/>
                <w:szCs w:val="20"/>
                <w:highlight w:val="none"/>
              </w:rPr>
            </w:pPr>
            <w:r>
              <w:rPr>
                <w:b/>
                <w:sz w:val="20"/>
                <w:szCs w:val="20"/>
                <w:highlight w:val="none"/>
              </w:rPr>
              <w:t xml:space="preserve">Фамилия, инициалы</w:t>
            </w:r>
            <w:r>
              <w:rPr>
                <w:b/>
                <w:sz w:val="20"/>
                <w:szCs w:val="20"/>
                <w:highlight w:val="none"/>
              </w:rPr>
            </w:r>
            <w:r>
              <w:rPr>
                <w:b/>
                <w:sz w:val="20"/>
                <w:szCs w:val="20"/>
                <w:highlight w:val="none"/>
              </w:rPr>
            </w:r>
          </w:p>
        </w:tc>
      </w:tr>
      <w:tr>
        <w:tblPrEx/>
        <w:trPr>
          <w:cantSplit/>
          <w:trHeight w:val="524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68" w:type="dxa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Ведущий специалист СМиТ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36" w:type="dxa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Власюк В.Р.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</w:tr>
    </w:tbl>
    <w:p>
      <w:pPr>
        <w:ind w:right="76"/>
        <w:jc w:val="both"/>
        <w:rPr>
          <w:b/>
          <w:bCs/>
          <w:highlight w:val="none"/>
        </w:rPr>
      </w:pPr>
      <w:r>
        <w:rPr>
          <w:b/>
          <w:highlight w:val="none"/>
        </w:rPr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ind w:right="76"/>
        <w:jc w:val="both"/>
        <w:rPr>
          <w:b/>
          <w:bCs/>
        </w:rPr>
      </w:pPr>
      <w:r>
        <w:rPr>
          <w:b/>
          <w:highlight w:val="none"/>
        </w:rPr>
      </w:r>
      <w:r>
        <w:rPr>
          <w:b/>
          <w:bCs/>
        </w:rPr>
      </w:r>
      <w:r>
        <w:rPr>
          <w:b/>
          <w:bCs/>
        </w:rPr>
      </w:r>
    </w:p>
    <w:p>
      <w:pPr>
        <w:ind w:left="5387"/>
        <w:pageBreakBefore/>
      </w:pPr>
      <w:r/>
      <w:r/>
    </w:p>
    <w:p>
      <w:pPr>
        <w:tabs>
          <w:tab w:val="left" w:pos="3731" w:leader="none"/>
        </w:tabs>
        <w:rPr>
          <w:bCs/>
        </w:rPr>
      </w:pPr>
      <w:r>
        <w:tab/>
      </w:r>
      <w:r>
        <w:t xml:space="preserve">Приложение 1 к Техническому заданию (обязательное)</w:t>
      </w:r>
      <w:r>
        <w:rPr>
          <w:bCs/>
        </w:rPr>
      </w:r>
      <w:r>
        <w:rPr>
          <w:bCs/>
        </w:rPr>
      </w:r>
    </w:p>
    <w:p>
      <w:pPr>
        <w:ind w:firstLine="851"/>
        <w:jc w:val="both"/>
        <w:widowControl w:val="off"/>
        <w:rPr>
          <w:sz w:val="28"/>
          <w:szCs w:val="28"/>
        </w:rPr>
      </w:pPr>
      <w:r>
        <w:rPr>
          <w:sz w:val="28"/>
          <w:szCs w:val="28"/>
        </w:rPr>
        <w:t xml:space="preserve">ФОРМА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851"/>
        <w:jc w:val="both"/>
        <w:widowControl w:val="off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851"/>
        <w:jc w:val="center"/>
        <w:spacing w:before="411" w:after="274" w:line="343" w:lineRule="atLeast"/>
        <w:shd w:val="clear" w:color="auto" w:fill="ffffff"/>
        <w:rPr>
          <w:sz w:val="28"/>
          <w:szCs w:val="28"/>
        </w:rPr>
        <w:pBdr>
          <w:bottom w:val="single" w:color="000000" w:sz="12" w:space="1"/>
        </w:pBdr>
        <w:outlineLvl w:val="1"/>
      </w:pPr>
      <w:r>
        <w:rPr>
          <w:sz w:val="28"/>
          <w:szCs w:val="28"/>
        </w:rPr>
        <w:t xml:space="preserve">Обоснование начальной (максимальной) цены договора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851"/>
        <w:jc w:val="center"/>
        <w:spacing w:before="411" w:after="274" w:line="343" w:lineRule="atLeast"/>
        <w:shd w:val="clear" w:color="auto" w:fill="ffffff"/>
        <w:rPr>
          <w:sz w:val="28"/>
          <w:szCs w:val="28"/>
        </w:rPr>
        <w:pBdr>
          <w:bottom w:val="single" w:color="000000" w:sz="12" w:space="1"/>
        </w:pBdr>
        <w:outlineLvl w:val="1"/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851"/>
        <w:jc w:val="center"/>
        <w:spacing w:after="274" w:line="343" w:lineRule="atLeast"/>
        <w:shd w:val="clear" w:color="auto" w:fill="ffffff"/>
        <w:rPr>
          <w:sz w:val="28"/>
          <w:szCs w:val="28"/>
        </w:rPr>
        <w:outlineLvl w:val="1"/>
      </w:pPr>
      <w:r>
        <w:rPr>
          <w:sz w:val="28"/>
          <w:szCs w:val="28"/>
        </w:rPr>
        <w:t xml:space="preserve">Право заключения договора на оказание услуг </w:t>
      </w:r>
      <w:r>
        <w:rPr>
          <w:sz w:val="28"/>
          <w:szCs w:val="28"/>
        </w:rPr>
        <w:t xml:space="preserve">по проведению ремонта въездных ворот ПО "Пермские городские электрические сети" г. Пермь</w:t>
      </w:r>
      <w:r>
        <w:rPr>
          <w:sz w:val="28"/>
          <w:szCs w:val="28"/>
        </w:rPr>
      </w:r>
      <w:r>
        <w:rPr>
          <w:sz w:val="28"/>
          <w:szCs w:val="28"/>
        </w:rPr>
      </w:r>
    </w:p>
    <w:tbl>
      <w:tblPr>
        <w:tblW w:w="5000" w:type="pct"/>
        <w:jc w:val="center"/>
        <w:tblBorders>
          <w:top w:val="single" w:color="DADADA" w:sz="6" w:space="0"/>
          <w:left w:val="single" w:color="DADADA" w:sz="6" w:space="0"/>
          <w:bottom w:val="single" w:color="DADADA" w:sz="6" w:space="0"/>
          <w:right w:val="single" w:color="DADADA" w:sz="6" w:space="0"/>
        </w:tblBorders>
        <w:tblCellMar>
          <w:left w:w="15" w:type="dxa"/>
          <w:top w:w="15" w:type="dxa"/>
          <w:right w:w="15" w:type="dxa"/>
          <w:bottom w:w="15" w:type="dxa"/>
        </w:tblCellMar>
        <w:tblLook w:val="04A0" w:firstRow="1" w:lastRow="0" w:firstColumn="1" w:lastColumn="0" w:noHBand="0" w:noVBand="1"/>
      </w:tblPr>
      <w:tblGrid>
        <w:gridCol w:w="4881"/>
        <w:gridCol w:w="4882"/>
      </w:tblGrid>
      <w:tr>
        <w:tblPrEx/>
        <w:trPr>
          <w:jc w:val="center"/>
        </w:trPr>
        <w:tc>
          <w:tcPr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2500" w:type="pct"/>
            <w:textDirection w:val="lrTb"/>
            <w:noWrap w:val="false"/>
          </w:tcPr>
          <w:p>
            <w:pPr>
              <w:spacing w:after="300"/>
              <w:rPr>
                <w:sz w:val="28"/>
                <w:szCs w:val="28"/>
              </w:rPr>
            </w:pPr>
            <w:r/>
            <w:bookmarkStart w:id="184" w:name="l55"/>
            <w:r/>
            <w:bookmarkEnd w:id="184"/>
            <w:r>
              <w:rPr>
                <w:sz w:val="28"/>
                <w:szCs w:val="28"/>
              </w:rPr>
              <w:t xml:space="preserve">Начальная (максимальная) цена договора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2500" w:type="pct"/>
            <w:textDirection w:val="lrTb"/>
            <w:noWrap w:val="false"/>
          </w:tcPr>
          <w:p>
            <w:pPr>
              <w:jc w:val="center"/>
              <w:spacing w:after="30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223 260,00 </w:t>
            </w:r>
            <w:r>
              <w:rPr>
                <w:sz w:val="28"/>
                <w:szCs w:val="28"/>
              </w:rPr>
              <w:t xml:space="preserve">рублей с НДС.                      </w:t>
            </w:r>
            <w:r>
              <w:rPr>
                <w:sz w:val="28"/>
                <w:szCs w:val="28"/>
              </w:rPr>
              <w:t xml:space="preserve">            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jc w:val="center"/>
              <w:spacing w:after="30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  <w:tr>
        <w:tblPrEx/>
        <w:trPr>
          <w:jc w:val="center"/>
        </w:trPr>
        <w:tc>
          <w:tcPr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2500" w:type="pct"/>
            <w:textDirection w:val="lrTb"/>
            <w:noWrap w:val="false"/>
          </w:tcPr>
          <w:p>
            <w:pPr>
              <w:spacing w:after="30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Используемый метод определения начальной (максимальной) цены договора  с обоснованием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2500" w:type="pct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  <w:t xml:space="preserve">Тарифный метод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  <w:tr>
        <w:tblPrEx/>
        <w:trPr>
          <w:jc w:val="center"/>
        </w:trPr>
        <w:tc>
          <w:tcPr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2500" w:type="pct"/>
            <w:textDirection w:val="lrTb"/>
            <w:noWrap w:val="false"/>
          </w:tcPr>
          <w:p>
            <w:pPr>
              <w:widowControl w:val="o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spacing w:after="30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2500" w:type="pct"/>
            <w:textDirection w:val="lrTb"/>
            <w:noWrap w:val="false"/>
          </w:tcPr>
          <w:p>
            <w:pPr>
              <w:ind w:firstLine="851"/>
              <w:spacing w:after="300"/>
              <w:rPr>
                <w:i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Единый Стандарт Закупок</w:t>
            </w:r>
            <w:r>
              <w:rPr>
                <w:i/>
                <w:sz w:val="28"/>
                <w:szCs w:val="28"/>
              </w:rPr>
            </w:r>
            <w:r>
              <w:rPr>
                <w:i/>
                <w:sz w:val="28"/>
                <w:szCs w:val="28"/>
              </w:rPr>
            </w:r>
          </w:p>
        </w:tc>
      </w:tr>
      <w:tr>
        <w:tblPrEx/>
        <w:trPr>
          <w:jc w:val="center"/>
        </w:trPr>
        <w:tc>
          <w:tcPr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2500" w:type="pct"/>
            <w:textDirection w:val="lrTb"/>
            <w:noWrap w:val="false"/>
          </w:tcPr>
          <w:p>
            <w:pPr>
              <w:spacing w:after="30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Расчет начальной (максимальной) цены договора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2500" w:type="pct"/>
            <w:textDirection w:val="lrTb"/>
            <w:noWrap w:val="false"/>
          </w:tcPr>
          <w:p>
            <w:pPr>
              <w:ind w:firstLine="851"/>
              <w:jc w:val="center"/>
              <w:spacing w:after="300"/>
              <w:rPr>
                <w:i/>
                <w:sz w:val="28"/>
                <w:szCs w:val="28"/>
                <w:highlight w:val="none"/>
              </w:rPr>
            </w:pPr>
            <w:r>
              <w:rPr>
                <w:sz w:val="28"/>
                <w:szCs w:val="28"/>
                <w:highlight w:val="none"/>
              </w:rPr>
              <w:t xml:space="preserve">Приложение № 1.1</w:t>
            </w:r>
            <w:r>
              <w:rPr>
                <w:sz w:val="28"/>
                <w:szCs w:val="28"/>
                <w:highlight w:val="none"/>
              </w:rPr>
              <w:t xml:space="preserve"> к ТЗ   </w:t>
            </w:r>
            <w:r>
              <w:rPr>
                <w:sz w:val="28"/>
                <w:szCs w:val="28"/>
                <w:highlight w:val="yellow"/>
              </w:rPr>
              <w:t xml:space="preserve">                         </w:t>
            </w:r>
            <w:r>
              <w:rPr>
                <w:sz w:val="28"/>
                <w:szCs w:val="28"/>
                <w:highlight w:val="none"/>
              </w:rPr>
              <w:t xml:space="preserve">Расчет  НМЦ</w:t>
            </w:r>
            <w:r>
              <w:rPr>
                <w:i/>
                <w:sz w:val="28"/>
                <w:szCs w:val="28"/>
                <w:highlight w:val="none"/>
              </w:rPr>
            </w:r>
            <w:r>
              <w:rPr>
                <w:i/>
                <w:sz w:val="28"/>
                <w:szCs w:val="28"/>
                <w:highlight w:val="none"/>
              </w:rPr>
            </w:r>
          </w:p>
          <w:p>
            <w:pPr>
              <w:ind w:firstLine="851"/>
              <w:spacing w:after="300"/>
              <w:rPr>
                <w:i/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i/>
                <w:sz w:val="28"/>
                <w:szCs w:val="28"/>
              </w:rPr>
            </w:r>
            <w:r>
              <w:rPr>
                <w:i/>
                <w:sz w:val="28"/>
                <w:szCs w:val="28"/>
              </w:rPr>
            </w:r>
          </w:p>
        </w:tc>
      </w:tr>
    </w:tbl>
    <w:p>
      <w:pPr>
        <w:spacing w:after="160" w:line="259" w:lineRule="auto"/>
        <w:rPr>
          <w:rFonts w:eastAsia="SimSun"/>
          <w:b/>
          <w:bCs/>
          <w:i/>
          <w:sz w:val="26"/>
          <w:szCs w:val="26"/>
        </w:rPr>
      </w:pPr>
      <w:r>
        <w:rPr>
          <w:rFonts w:eastAsia="SimSun"/>
          <w:b/>
          <w:bCs/>
          <w:i/>
          <w:iCs/>
          <w:sz w:val="26"/>
          <w:szCs w:val="26"/>
        </w:rPr>
      </w:r>
      <w:r>
        <w:rPr>
          <w:rFonts w:eastAsia="SimSun"/>
          <w:b/>
          <w:bCs/>
          <w:i/>
          <w:sz w:val="26"/>
          <w:szCs w:val="26"/>
        </w:rPr>
      </w:r>
      <w:r>
        <w:rPr>
          <w:rFonts w:eastAsia="SimSun"/>
          <w:b/>
          <w:bCs/>
          <w:i/>
          <w:sz w:val="26"/>
          <w:szCs w:val="26"/>
        </w:rPr>
      </w:r>
    </w:p>
    <w:p>
      <w:pPr>
        <w:spacing w:after="160" w:line="259" w:lineRule="auto"/>
        <w:rPr>
          <w:rFonts w:eastAsia="SimSun"/>
          <w:b/>
          <w:bCs/>
          <w:i/>
          <w:sz w:val="26"/>
          <w:szCs w:val="26"/>
        </w:rPr>
      </w:pPr>
      <w:r>
        <w:rPr>
          <w:rFonts w:eastAsia="SimSun"/>
          <w:b/>
          <w:bCs/>
          <w:i/>
          <w:iCs/>
          <w:sz w:val="26"/>
          <w:szCs w:val="26"/>
        </w:rPr>
      </w:r>
      <w:r>
        <w:rPr>
          <w:rFonts w:eastAsia="SimSun"/>
          <w:b/>
          <w:bCs/>
          <w:i/>
          <w:sz w:val="26"/>
          <w:szCs w:val="26"/>
        </w:rPr>
      </w:r>
      <w:r>
        <w:rPr>
          <w:rFonts w:eastAsia="SimSun"/>
          <w:b/>
          <w:bCs/>
          <w:i/>
          <w:sz w:val="26"/>
          <w:szCs w:val="26"/>
        </w:rPr>
      </w:r>
    </w:p>
    <w:p>
      <w:pPr>
        <w:spacing w:after="160" w:line="259" w:lineRule="auto"/>
        <w:rPr>
          <w:rFonts w:eastAsia="SimSun"/>
          <w:b/>
          <w:bCs/>
          <w:i/>
          <w:sz w:val="26"/>
          <w:szCs w:val="26"/>
        </w:rPr>
      </w:pPr>
      <w:r>
        <w:rPr>
          <w:rFonts w:eastAsia="SimSun"/>
          <w:b/>
          <w:bCs/>
          <w:i/>
          <w:iCs/>
          <w:sz w:val="26"/>
          <w:szCs w:val="26"/>
        </w:rPr>
      </w:r>
      <w:r>
        <w:rPr>
          <w:rFonts w:eastAsia="SimSun"/>
          <w:b/>
          <w:bCs/>
          <w:i/>
          <w:sz w:val="26"/>
          <w:szCs w:val="26"/>
        </w:rPr>
      </w:r>
      <w:r>
        <w:rPr>
          <w:rFonts w:eastAsia="SimSun"/>
          <w:b/>
          <w:bCs/>
          <w:i/>
          <w:sz w:val="26"/>
          <w:szCs w:val="26"/>
        </w:rPr>
      </w:r>
    </w:p>
    <w:p>
      <w:pPr>
        <w:spacing w:after="160" w:line="259" w:lineRule="auto"/>
        <w:rPr>
          <w:rFonts w:eastAsia="SimSun"/>
          <w:b/>
          <w:bCs/>
          <w:i/>
          <w:sz w:val="26"/>
          <w:szCs w:val="26"/>
        </w:rPr>
      </w:pPr>
      <w:r>
        <w:rPr>
          <w:rFonts w:eastAsia="SimSun"/>
          <w:b/>
          <w:bCs/>
          <w:i/>
          <w:iCs/>
          <w:sz w:val="26"/>
          <w:szCs w:val="26"/>
        </w:rPr>
      </w:r>
      <w:r>
        <w:rPr>
          <w:rFonts w:eastAsia="SimSun"/>
          <w:b/>
          <w:bCs/>
          <w:i/>
          <w:sz w:val="26"/>
          <w:szCs w:val="26"/>
        </w:rPr>
      </w:r>
      <w:r>
        <w:rPr>
          <w:rFonts w:eastAsia="SimSun"/>
          <w:b/>
          <w:bCs/>
          <w:i/>
          <w:sz w:val="26"/>
          <w:szCs w:val="26"/>
        </w:rPr>
      </w:r>
    </w:p>
    <w:p>
      <w:pPr>
        <w:spacing w:after="160" w:line="259" w:lineRule="auto"/>
        <w:rPr>
          <w:rFonts w:eastAsia="SimSun"/>
          <w:b/>
          <w:bCs/>
          <w:i/>
          <w:sz w:val="26"/>
          <w:szCs w:val="26"/>
        </w:rPr>
      </w:pPr>
      <w:r>
        <w:rPr>
          <w:rFonts w:eastAsia="SimSun"/>
          <w:b/>
          <w:bCs/>
          <w:i/>
          <w:iCs/>
          <w:sz w:val="26"/>
          <w:szCs w:val="26"/>
        </w:rPr>
      </w:r>
      <w:r>
        <w:rPr>
          <w:rFonts w:eastAsia="SimSun"/>
          <w:b/>
          <w:bCs/>
          <w:i/>
          <w:sz w:val="26"/>
          <w:szCs w:val="26"/>
        </w:rPr>
      </w:r>
      <w:r>
        <w:rPr>
          <w:rFonts w:eastAsia="SimSun"/>
          <w:b/>
          <w:bCs/>
          <w:i/>
          <w:sz w:val="26"/>
          <w:szCs w:val="26"/>
        </w:rPr>
      </w:r>
    </w:p>
    <w:p>
      <w:pPr>
        <w:spacing w:after="160" w:line="259" w:lineRule="auto"/>
        <w:rPr>
          <w:rFonts w:eastAsia="SimSun"/>
          <w:b/>
          <w:bCs/>
          <w:i/>
          <w:sz w:val="26"/>
          <w:szCs w:val="26"/>
        </w:rPr>
      </w:pPr>
      <w:r>
        <w:rPr>
          <w:rFonts w:eastAsia="SimSun"/>
          <w:b/>
          <w:bCs/>
          <w:i/>
          <w:iCs/>
          <w:sz w:val="26"/>
          <w:szCs w:val="26"/>
        </w:rPr>
      </w:r>
      <w:r>
        <w:rPr>
          <w:rFonts w:eastAsia="SimSun"/>
          <w:b/>
          <w:bCs/>
          <w:i/>
          <w:sz w:val="26"/>
          <w:szCs w:val="26"/>
        </w:rPr>
      </w:r>
      <w:r>
        <w:rPr>
          <w:rFonts w:eastAsia="SimSun"/>
          <w:b/>
          <w:bCs/>
          <w:i/>
          <w:sz w:val="26"/>
          <w:szCs w:val="26"/>
        </w:rPr>
      </w:r>
    </w:p>
    <w:p>
      <w:pPr>
        <w:spacing w:after="160" w:line="259" w:lineRule="auto"/>
        <w:rPr>
          <w:rFonts w:eastAsia="SimSun"/>
          <w:b/>
          <w:bCs/>
          <w:i/>
          <w:sz w:val="26"/>
          <w:szCs w:val="26"/>
        </w:rPr>
      </w:pPr>
      <w:r>
        <w:rPr>
          <w:rFonts w:eastAsia="SimSun"/>
          <w:b/>
          <w:bCs/>
          <w:i/>
          <w:iCs/>
          <w:sz w:val="26"/>
          <w:szCs w:val="26"/>
        </w:rPr>
      </w:r>
      <w:r>
        <w:rPr>
          <w:rFonts w:eastAsia="SimSun"/>
          <w:b/>
          <w:bCs/>
          <w:i/>
          <w:sz w:val="26"/>
          <w:szCs w:val="26"/>
        </w:rPr>
      </w:r>
      <w:r>
        <w:rPr>
          <w:rFonts w:eastAsia="SimSun"/>
          <w:b/>
          <w:bCs/>
          <w:i/>
          <w:sz w:val="26"/>
          <w:szCs w:val="26"/>
        </w:rPr>
      </w:r>
    </w:p>
    <w:p>
      <w:pPr>
        <w:ind w:firstLine="709"/>
        <w:jc w:val="right"/>
        <w:pageBreakBefore/>
        <w:tabs>
          <w:tab w:val="left" w:pos="993" w:leader="none"/>
        </w:tabs>
      </w:pPr>
      <w:r/>
      <w:bookmarkStart w:id="0" w:name="undefined"/>
      <w:r/>
      <w:bookmarkStart w:id="0" w:name="undefined"/>
      <w:r/>
      <w:bookmarkStart w:id="0" w:name="undefined"/>
      <w:r>
        <w:t xml:space="preserve">Приложение №3 к Техническому заданию </w:t>
      </w:r>
      <w:r/>
    </w:p>
    <w:p>
      <w:pPr>
        <w:pStyle w:val="948"/>
        <w:jc w:val="center"/>
        <w:rPr>
          <w:b/>
        </w:rPr>
      </w:pPr>
      <w:r>
        <w:rPr>
          <w:b/>
        </w:rPr>
      </w:r>
      <w:bookmarkEnd w:id="0"/>
      <w:r>
        <w:rPr>
          <w:b/>
        </w:rPr>
      </w:r>
      <w:r>
        <w:rPr>
          <w:b/>
        </w:rPr>
      </w:r>
    </w:p>
    <w:p>
      <w:pPr>
        <w:jc w:val="center"/>
        <w:rPr>
          <w:b/>
        </w:rPr>
      </w:pPr>
      <w:r>
        <w:rPr>
          <w:b/>
        </w:rPr>
        <w:t xml:space="preserve">ФОРМА. ТЕХНИЧЕСКОЕ ПРЕДЛОЖЕНИЕ</w:t>
      </w:r>
      <w:r>
        <w:rPr>
          <w:b/>
        </w:rPr>
      </w:r>
      <w:r>
        <w:rPr>
          <w:b/>
        </w:rPr>
      </w:r>
    </w:p>
    <w:p>
      <w:pPr>
        <w:rPr>
          <w:color w:val="ff0000"/>
        </w:rPr>
      </w:pPr>
      <w:r>
        <w:rPr>
          <w:color w:val="ff0000"/>
        </w:rPr>
      </w:r>
      <w:r>
        <w:rPr>
          <w:color w:val="ff0000"/>
        </w:rPr>
      </w:r>
      <w:r>
        <w:rPr>
          <w:color w:val="ff0000"/>
        </w:rPr>
      </w:r>
    </w:p>
    <w:p>
      <w:pPr>
        <w:jc w:val="right"/>
        <w:rPr>
          <w:highlight w:val="none"/>
        </w:rPr>
      </w:pPr>
      <w:r>
        <w:rPr>
          <w:highlight w:val="none"/>
        </w:rPr>
      </w:r>
      <w:r>
        <w:rPr>
          <w:highlight w:val="none"/>
        </w:rPr>
        <w:t xml:space="preserve">Приложение к письму о подаче оферты </w:t>
      </w:r>
      <w:r>
        <w:rPr>
          <w:highlight w:val="none"/>
        </w:rPr>
      </w:r>
      <w:r>
        <w:rPr>
          <w:highlight w:val="none"/>
        </w:rPr>
      </w:r>
    </w:p>
    <w:p>
      <w:pPr>
        <w:jc w:val="right"/>
        <w:spacing w:after="0"/>
        <w:rPr>
          <w:b/>
          <w:bCs/>
          <w:highlight w:val="none"/>
        </w:rPr>
      </w:pPr>
      <w:r>
        <w:rPr>
          <w:highlight w:val="none"/>
        </w:rPr>
        <w:t xml:space="preserve">от «</w:t>
      </w:r>
      <w:r>
        <w:rPr>
          <w:highlight w:val="none"/>
        </w:rPr>
        <w:t xml:space="preserve">__</w:t>
      </w:r>
      <w:r>
        <w:rPr>
          <w:highlight w:val="none"/>
        </w:rPr>
        <w:t xml:space="preserve">» </w:t>
      </w:r>
      <w:r>
        <w:rPr>
          <w:highlight w:val="none"/>
        </w:rPr>
        <w:t xml:space="preserve">_____</w:t>
      </w:r>
      <w:r>
        <w:rPr>
          <w:highlight w:val="none"/>
        </w:rPr>
        <w:t xml:space="preserve"> 202_</w:t>
      </w:r>
      <w:r>
        <w:rPr>
          <w:highlight w:val="none"/>
        </w:rPr>
        <w:t xml:space="preserve"> </w:t>
      </w:r>
      <w:r>
        <w:rPr>
          <w:highlight w:val="none"/>
        </w:rPr>
        <w:t xml:space="preserve">г</w:t>
      </w:r>
      <w:r>
        <w:rPr>
          <w:highlight w:val="none"/>
        </w:rPr>
        <w:t xml:space="preserve">ода</w:t>
      </w:r>
      <w:r>
        <w:rPr>
          <w:highlight w:val="none"/>
        </w:rPr>
        <w:t xml:space="preserve"> № </w:t>
      </w:r>
      <w:r>
        <w:rPr>
          <w:highlight w:val="none"/>
        </w:rPr>
        <w:t xml:space="preserve">_____</w:t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jc w:val="right"/>
        <w:spacing w:after="0"/>
        <w:rPr>
          <w:b/>
          <w:bCs/>
          <w:highlight w:val="none"/>
        </w:rPr>
      </w:pPr>
      <w:r>
        <w:rPr>
          <w:b/>
          <w:bCs/>
          <w:highlight w:val="none"/>
        </w:rPr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jc w:val="center"/>
        <w:spacing w:after="0"/>
        <w:rPr>
          <w:b/>
          <w:bCs/>
          <w:highlight w:val="none"/>
        </w:rPr>
      </w:pPr>
      <w:r>
        <w:rPr>
          <w:highlight w:val="none"/>
        </w:rPr>
      </w:r>
      <w:r>
        <w:rPr>
          <w:b/>
          <w:highlight w:val="none"/>
        </w:rPr>
        <w:t xml:space="preserve">Техническое предложение</w:t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ind w:left="0" w:right="0" w:firstLine="0"/>
        <w:tabs>
          <w:tab w:val="left" w:pos="1080" w:leader="none"/>
        </w:tabs>
        <w:rPr>
          <w:b w:val="0"/>
          <w:bCs w:val="0"/>
          <w:sz w:val="24"/>
          <w:szCs w:val="24"/>
          <w:highlight w:val="none"/>
        </w:rPr>
      </w:pPr>
      <w:r>
        <w:rPr>
          <w:b w:val="0"/>
          <w:bCs w:val="0"/>
          <w:sz w:val="24"/>
          <w:szCs w:val="24"/>
          <w:highlight w:val="none"/>
        </w:rPr>
        <w:t xml:space="preserve">Способ и наименование закупки</w:t>
      </w:r>
      <w:r>
        <w:rPr>
          <w:b w:val="0"/>
          <w:bCs w:val="0"/>
          <w:sz w:val="24"/>
          <w:szCs w:val="24"/>
          <w:highlight w:val="none"/>
        </w:rPr>
        <w:t xml:space="preserve"> ________________________________ </w:t>
      </w:r>
      <w:r>
        <w:rPr>
          <w:b w:val="0"/>
          <w:bCs w:val="0"/>
          <w:sz w:val="24"/>
          <w:szCs w:val="24"/>
          <w:highlight w:val="none"/>
        </w:rPr>
      </w:r>
      <w:r>
        <w:rPr>
          <w:b w:val="0"/>
          <w:bCs w:val="0"/>
          <w:sz w:val="24"/>
          <w:szCs w:val="24"/>
          <w:highlight w:val="none"/>
        </w:rPr>
      </w:r>
    </w:p>
    <w:p>
      <w:pPr>
        <w:ind w:left="0" w:right="0" w:firstLine="0"/>
        <w:spacing w:after="0"/>
        <w:rPr>
          <w:b w:val="0"/>
          <w:bCs w:val="0"/>
          <w:sz w:val="24"/>
          <w:szCs w:val="24"/>
          <w:highlight w:val="none"/>
        </w:rPr>
      </w:pPr>
      <w:r>
        <w:rPr>
          <w:b w:val="0"/>
          <w:bCs w:val="0"/>
          <w:sz w:val="24"/>
          <w:szCs w:val="24"/>
          <w:highlight w:val="none"/>
          <w:lang w:eastAsia="ar-SA"/>
        </w:rPr>
        <w:t xml:space="preserve">Участник закупки: ________________________________ </w:t>
      </w:r>
      <w:r>
        <w:rPr>
          <w:b w:val="0"/>
          <w:bCs w:val="0"/>
          <w:sz w:val="24"/>
          <w:szCs w:val="24"/>
          <w:highlight w:val="none"/>
        </w:rPr>
      </w:r>
      <w:r>
        <w:rPr>
          <w:b w:val="0"/>
          <w:bCs w:val="0"/>
          <w:sz w:val="24"/>
          <w:szCs w:val="24"/>
          <w:highlight w:val="none"/>
        </w:rPr>
      </w:r>
    </w:p>
    <w:p>
      <w:pPr>
        <w:ind w:left="0" w:right="0" w:firstLine="709"/>
        <w:spacing w:line="240" w:lineRule="auto"/>
        <w:tabs>
          <w:tab w:val="left" w:pos="142" w:leader="none"/>
          <w:tab w:val="left" w:pos="283" w:leader="none"/>
          <w:tab w:val="left" w:pos="993" w:leader="none"/>
        </w:tabs>
        <w:rPr>
          <w:bCs/>
          <w:i/>
          <w:sz w:val="22"/>
          <w:szCs w:val="22"/>
          <w:highlight w:val="none"/>
        </w:rPr>
      </w:pPr>
      <w:r>
        <w:rPr>
          <w:bCs/>
          <w:i/>
          <w:sz w:val="22"/>
          <w:szCs w:val="22"/>
          <w:highlight w:val="none"/>
        </w:rPr>
      </w:r>
      <w:r>
        <w:rPr>
          <w:bCs/>
          <w:i/>
          <w:sz w:val="22"/>
          <w:szCs w:val="22"/>
          <w:highlight w:val="none"/>
        </w:rPr>
      </w:r>
      <w:r>
        <w:rPr>
          <w:bCs/>
          <w:i/>
          <w:sz w:val="22"/>
          <w:szCs w:val="22"/>
          <w:highlight w:val="none"/>
        </w:rPr>
      </w:r>
    </w:p>
    <w:p>
      <w:pPr>
        <w:ind w:left="0" w:right="0" w:firstLine="709"/>
        <w:spacing w:line="240" w:lineRule="auto"/>
        <w:tabs>
          <w:tab w:val="left" w:pos="142" w:leader="none"/>
          <w:tab w:val="left" w:pos="283" w:leader="none"/>
          <w:tab w:val="left" w:pos="993" w:leader="none"/>
        </w:tabs>
        <w:rPr>
          <w:bCs/>
          <w:i/>
          <w:sz w:val="22"/>
          <w:szCs w:val="22"/>
          <w:highlight w:val="none"/>
        </w:rPr>
      </w:pPr>
      <w:r>
        <w:rPr>
          <w:highlight w:val="none"/>
        </w:rPr>
      </w:r>
      <w:r>
        <w:rPr>
          <w:bCs/>
          <w:i/>
          <w:sz w:val="22"/>
          <w:szCs w:val="22"/>
          <w:highlight w:val="none"/>
        </w:rPr>
      </w:r>
      <w:r>
        <w:rPr>
          <w:bCs/>
          <w:i/>
          <w:sz w:val="22"/>
          <w:szCs w:val="22"/>
          <w:highlight w:val="none"/>
        </w:rPr>
      </w:r>
    </w:p>
    <w:p>
      <w:pPr>
        <w:ind w:left="0" w:right="0" w:firstLine="0"/>
        <w:spacing w:line="240" w:lineRule="auto"/>
        <w:tabs>
          <w:tab w:val="left" w:pos="142" w:leader="none"/>
          <w:tab w:val="left" w:pos="283" w:leader="none"/>
          <w:tab w:val="left" w:pos="993" w:leader="none"/>
        </w:tabs>
        <w:rPr>
          <w:b/>
          <w:i/>
          <w:iCs/>
          <w:sz w:val="20"/>
          <w:szCs w:val="20"/>
          <w:highlight w:val="none"/>
        </w:rPr>
      </w:pPr>
      <w:r>
        <w:rPr>
          <w:b/>
          <w:i/>
          <w:iCs/>
          <w:sz w:val="20"/>
          <w:szCs w:val="20"/>
          <w:highlight w:val="none"/>
        </w:rPr>
        <w:t xml:space="preserve">Инструкции по заполнению:</w:t>
      </w:r>
      <w:r>
        <w:rPr>
          <w:b/>
          <w:i/>
          <w:iCs/>
          <w:sz w:val="20"/>
          <w:szCs w:val="20"/>
          <w:highlight w:val="none"/>
        </w:rPr>
      </w:r>
      <w:r>
        <w:rPr>
          <w:b/>
          <w:i/>
          <w:iCs/>
          <w:sz w:val="20"/>
          <w:szCs w:val="20"/>
          <w:highlight w:val="none"/>
        </w:rPr>
      </w:r>
    </w:p>
    <w:p>
      <w:r>
        <w:rPr>
          <w:i/>
          <w:iCs/>
          <w:sz w:val="20"/>
          <w:szCs w:val="20"/>
          <w:highlight w:val="none"/>
        </w:rPr>
        <w:t xml:space="preserve">1.</w:t>
        <w:tab/>
        <w:t xml:space="preserve">Данные инструкции не следует воспроизводить в документах, подготовленных Участником.</w:t>
      </w:r>
      <w:r>
        <w:rPr>
          <w:i/>
          <w:iCs/>
          <w:sz w:val="20"/>
          <w:szCs w:val="20"/>
          <w:highlight w:val="none"/>
        </w:rPr>
      </w:r>
      <w:r/>
    </w:p>
    <w:p>
      <w:r>
        <w:rPr>
          <w:i/>
          <w:iCs/>
          <w:sz w:val="20"/>
          <w:szCs w:val="20"/>
          <w:highlight w:val="none"/>
        </w:rPr>
        <w:t xml:space="preserve">2.</w:t>
        <w:tab/>
        <w:t xml:space="preserve">Выше приведена форма титульного листа Технического предложения участника. </w:t>
      </w:r>
      <w:r>
        <w:rPr>
          <w:i/>
          <w:iCs/>
          <w:sz w:val="20"/>
          <w:szCs w:val="20"/>
          <w:highlight w:val="none"/>
        </w:rPr>
      </w:r>
      <w:r/>
    </w:p>
    <w:p>
      <w:r>
        <w:rPr>
          <w:i/>
          <w:iCs/>
          <w:sz w:val="20"/>
          <w:szCs w:val="20"/>
          <w:highlight w:val="none"/>
        </w:rPr>
        <w:t xml:space="preserve">3.</w:t>
        <w:tab/>
        <w:t xml:space="preserve">Участник закупки приводит номер и дату письма о подаче оферты, приложением к которому является данная форма.</w:t>
      </w:r>
      <w:r>
        <w:rPr>
          <w:i/>
          <w:iCs/>
          <w:sz w:val="20"/>
          <w:szCs w:val="20"/>
          <w:highlight w:val="none"/>
        </w:rPr>
      </w:r>
      <w:r/>
    </w:p>
    <w:p>
      <w:r>
        <w:rPr>
          <w:i/>
          <w:iCs/>
          <w:sz w:val="20"/>
          <w:szCs w:val="20"/>
          <w:highlight w:val="none"/>
        </w:rPr>
        <w:t xml:space="preserve">4</w:t>
      </w:r>
      <w:r>
        <w:rPr>
          <w:i/>
          <w:iCs/>
          <w:sz w:val="20"/>
          <w:szCs w:val="20"/>
          <w:highlight w:val="none"/>
        </w:rPr>
        <w:t xml:space="preserve">.</w:t>
        <w:tab/>
        <w:t xml:space="preserve">Участник закупки, являющийся юридическим лицом, должен указать свое полное наименование (с указанием организационно-правовой формы) и адрес места нахождения. Участник закупки, являющийся индивидуальным предпринимателем, указывает полностью фамилию, имя, </w:t>
      </w:r>
      <w:r>
        <w:rPr>
          <w:i/>
          <w:iCs/>
          <w:sz w:val="20"/>
          <w:szCs w:val="20"/>
          <w:highlight w:val="none"/>
        </w:rPr>
        <w:t xml:space="preserve">отчество, паспортные данные, адрес регистрации.</w:t>
      </w:r>
      <w:r>
        <w:rPr>
          <w:i/>
          <w:iCs/>
          <w:sz w:val="20"/>
          <w:szCs w:val="20"/>
          <w:highlight w:val="none"/>
        </w:rPr>
      </w:r>
      <w:r/>
    </w:p>
    <w:p>
      <w:r>
        <w:rPr>
          <w:i/>
          <w:iCs/>
          <w:sz w:val="20"/>
          <w:szCs w:val="20"/>
          <w:highlight w:val="none"/>
        </w:rPr>
        <w:t xml:space="preserve">5.</w:t>
        <w:tab/>
        <w:t xml:space="preserve">Участник в Техническом предложении должен подтвердить свое согласие с требованиями Технической части (технического задания), Проекта договора.</w:t>
      </w:r>
      <w:r>
        <w:rPr>
          <w:i/>
          <w:iCs/>
          <w:sz w:val="20"/>
          <w:szCs w:val="20"/>
          <w:highlight w:val="none"/>
        </w:rPr>
      </w:r>
      <w:r/>
    </w:p>
    <w:p>
      <w:pPr>
        <w:rPr>
          <w:i/>
          <w:iCs/>
          <w:sz w:val="20"/>
          <w:szCs w:val="20"/>
          <w:highlight w:val="none"/>
        </w:rPr>
      </w:pPr>
      <w:r>
        <w:rPr>
          <w:i/>
          <w:iCs/>
          <w:sz w:val="20"/>
          <w:szCs w:val="20"/>
          <w:highlight w:val="none"/>
        </w:rPr>
        <w:t xml:space="preserve">6.</w:t>
        <w:tab/>
        <w:t xml:space="preserve">Указание формулировки «В соответствии с техническим заданием заказчика», а также копирование текста технического задания не приемлемо и является нарушением порядка оформления документа.</w:t>
      </w:r>
      <w:r>
        <w:rPr>
          <w:i/>
          <w:iCs/>
          <w:sz w:val="20"/>
          <w:szCs w:val="20"/>
          <w:highlight w:val="none"/>
        </w:rPr>
      </w:r>
      <w:r>
        <w:rPr>
          <w:i/>
          <w:iCs/>
          <w:sz w:val="20"/>
          <w:szCs w:val="20"/>
          <w:highlight w:val="none"/>
        </w:rPr>
      </w:r>
    </w:p>
    <w:p>
      <w:pPr>
        <w:pStyle w:val="936"/>
        <w:pageBreakBefore/>
        <w:spacing w:line="240" w:lineRule="atLeast"/>
        <w:tabs>
          <w:tab w:val="left" w:pos="993" w:leader="none"/>
        </w:tabs>
        <w:rPr>
          <w:b w:val="0"/>
          <w:i w:val="0"/>
          <w:sz w:val="24"/>
          <w:szCs w:val="24"/>
        </w:rPr>
        <w:sectPr>
          <w:footerReference w:type="default" r:id="rId11"/>
          <w:footnotePr/>
          <w:endnotePr/>
          <w:type w:val="nextPage"/>
          <w:pgSz w:w="11906" w:h="16838" w:orient="portrait"/>
          <w:pgMar w:top="567" w:right="709" w:bottom="567" w:left="1418" w:header="709" w:footer="709" w:gutter="0"/>
          <w:cols w:num="1" w:sep="0" w:space="708" w:equalWidth="1"/>
          <w:docGrid w:linePitch="360"/>
        </w:sectPr>
      </w:pPr>
      <w:r>
        <w:rPr>
          <w:b w:val="0"/>
          <w:i w:val="0"/>
          <w:sz w:val="24"/>
          <w:szCs w:val="24"/>
        </w:rPr>
      </w:r>
      <w:r>
        <w:rPr>
          <w:b w:val="0"/>
          <w:i w:val="0"/>
          <w:sz w:val="24"/>
          <w:szCs w:val="24"/>
        </w:rPr>
      </w:r>
      <w:r>
        <w:rPr>
          <w:b w:val="0"/>
          <w:i w:val="0"/>
          <w:sz w:val="24"/>
          <w:szCs w:val="24"/>
        </w:rPr>
      </w:r>
    </w:p>
    <w:p>
      <w:pPr>
        <w:jc w:val="both"/>
      </w:pPr>
      <w:r/>
      <w:r/>
    </w:p>
    <w:p>
      <w:pPr>
        <w:pStyle w:val="936"/>
        <w:ind w:left="567"/>
        <w:jc w:val="center"/>
        <w:tabs>
          <w:tab w:val="left" w:pos="993" w:leader="none"/>
        </w:tabs>
        <w:rPr>
          <w:i w:val="0"/>
          <w:sz w:val="24"/>
        </w:rPr>
      </w:pPr>
      <w:r>
        <w:rPr>
          <w:i w:val="0"/>
          <w:sz w:val="24"/>
        </w:rPr>
      </w:r>
      <w:r>
        <w:rPr>
          <w:i w:val="0"/>
          <w:sz w:val="24"/>
        </w:rPr>
      </w:r>
      <w:r>
        <w:rPr>
          <w:i w:val="0"/>
          <w:sz w:val="24"/>
        </w:rPr>
      </w:r>
    </w:p>
    <w:p>
      <w:pPr>
        <w:pStyle w:val="936"/>
        <w:ind w:left="567"/>
        <w:jc w:val="center"/>
        <w:tabs>
          <w:tab w:val="left" w:pos="993" w:leader="none"/>
        </w:tabs>
        <w:rPr>
          <w:i w:val="0"/>
          <w:sz w:val="24"/>
        </w:rPr>
      </w:pPr>
      <w:r>
        <w:rPr>
          <w:i w:val="0"/>
          <w:sz w:val="24"/>
        </w:rPr>
        <w:t xml:space="preserve">Лист</w:t>
      </w:r>
      <w:r>
        <w:rPr>
          <w:i w:val="0"/>
          <w:sz w:val="24"/>
        </w:rPr>
        <w:t xml:space="preserve"> согласования</w:t>
      </w:r>
      <w:r>
        <w:rPr>
          <w:i w:val="0"/>
          <w:sz w:val="24"/>
        </w:rPr>
      </w:r>
      <w:r>
        <w:rPr>
          <w:i w:val="0"/>
          <w:sz w:val="24"/>
        </w:rPr>
      </w:r>
    </w:p>
    <w:p>
      <w:pPr>
        <w:pStyle w:val="948"/>
        <w:jc w:val="center"/>
      </w:pPr>
      <w:r>
        <w:t xml:space="preserve">Технического задания на проведение </w:t>
      </w:r>
      <w:r>
        <w:t xml:space="preserve">сравнения цен </w:t>
      </w:r>
      <w:r>
        <w:t xml:space="preserve">в электронной форме </w:t>
      </w:r>
      <w:r>
        <w:t xml:space="preserve"> на право </w:t>
      </w:r>
      <w:r>
        <w:t xml:space="preserve">заключения договора на оказание услуг </w:t>
      </w:r>
      <w:r>
        <w:t xml:space="preserve">по проведению ремонта въездных ворот ПО "Пермские городские электрические сети" г. Пермь</w:t>
      </w:r>
      <w:r/>
    </w:p>
    <w:p>
      <w:pPr>
        <w:jc w:val="both"/>
        <w:tabs>
          <w:tab w:val="left" w:pos="0" w:leader="none"/>
          <w:tab w:val="left" w:pos="6220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jc w:val="both"/>
        <w:tabs>
          <w:tab w:val="left" w:pos="0" w:leader="none"/>
          <w:tab w:val="left" w:pos="6220" w:leader="none"/>
        </w:tabs>
        <w:rPr>
          <w:b/>
        </w:rPr>
      </w:pPr>
      <w:r>
        <w:rPr>
          <w:b/>
        </w:rPr>
        <w:t xml:space="preserve">Составил:</w:t>
      </w:r>
      <w:r>
        <w:rPr>
          <w:b/>
        </w:rPr>
        <w:tab/>
      </w:r>
      <w:r>
        <w:rPr>
          <w:b/>
        </w:rPr>
        <w:tab/>
      </w:r>
      <w:r>
        <w:rPr>
          <w:b/>
        </w:rPr>
      </w:r>
      <w:r>
        <w:rPr>
          <w:b/>
        </w:rPr>
      </w:r>
    </w:p>
    <w:p>
      <w:pPr>
        <w:jc w:val="both"/>
        <w:tabs>
          <w:tab w:val="left" w:pos="0" w:leader="none"/>
          <w:tab w:val="left" w:pos="6220" w:leader="none"/>
        </w:tabs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tbl>
      <w:tblPr>
        <w:tblW w:w="9351" w:type="dxa"/>
        <w:tblLayout w:type="fixed"/>
        <w:tblLook w:val="0000" w:firstRow="0" w:lastRow="0" w:firstColumn="0" w:lastColumn="0" w:noHBand="0" w:noVBand="0"/>
      </w:tblPr>
      <w:tblGrid>
        <w:gridCol w:w="4368"/>
        <w:gridCol w:w="3036"/>
        <w:gridCol w:w="1947"/>
      </w:tblGrid>
      <w:tr>
        <w:tblPrEx/>
        <w:trPr>
          <w:cantSplit/>
          <w:trHeight w:val="374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36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Должность, структурное подразделение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03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Фамилия, инициалы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94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Подпись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</w:tr>
      <w:tr>
        <w:tblPrEx/>
        <w:trPr>
          <w:cantSplit/>
          <w:trHeight w:val="524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368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Ведущий специалист ПТГ СМиТ 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036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Власюк В.Р.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47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</w:tbl>
    <w:p>
      <w:pPr>
        <w:jc w:val="both"/>
        <w:tabs>
          <w:tab w:val="left" w:pos="0" w:leader="none"/>
          <w:tab w:val="left" w:pos="6220" w:leader="none"/>
        </w:tabs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jc w:val="both"/>
        <w:tabs>
          <w:tab w:val="left" w:pos="0" w:leader="none"/>
          <w:tab w:val="left" w:pos="6220" w:leader="none"/>
        </w:tabs>
        <w:rPr>
          <w:b/>
        </w:rPr>
      </w:pPr>
      <w:r>
        <w:rPr>
          <w:b/>
        </w:rPr>
        <w:t xml:space="preserve">Согласовано:</w:t>
      </w:r>
      <w:r>
        <w:rPr>
          <w:b/>
        </w:rPr>
      </w:r>
      <w:r>
        <w:rPr>
          <w:b/>
        </w:rPr>
      </w:r>
    </w:p>
    <w:p>
      <w:pPr>
        <w:jc w:val="both"/>
        <w:tabs>
          <w:tab w:val="left" w:pos="0" w:leader="none"/>
          <w:tab w:val="left" w:pos="6220" w:leader="none"/>
        </w:tabs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tbl>
      <w:tblPr>
        <w:tblW w:w="9365" w:type="dxa"/>
        <w:tblLayout w:type="fixed"/>
        <w:tblLook w:val="0000" w:firstRow="0" w:lastRow="0" w:firstColumn="0" w:lastColumn="0" w:noHBand="0" w:noVBand="0"/>
      </w:tblPr>
      <w:tblGrid>
        <w:gridCol w:w="562"/>
        <w:gridCol w:w="2977"/>
        <w:gridCol w:w="2126"/>
        <w:gridCol w:w="1418"/>
        <w:gridCol w:w="1276"/>
        <w:gridCol w:w="1006"/>
      </w:tblGrid>
      <w:tr>
        <w:tblPrEx/>
        <w:trPr>
          <w:cantSplit/>
          <w:trHeight w:val="410"/>
        </w:trPr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562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№ п/п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7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Должность, структурное подразделение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2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Фамилия, инициалы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9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Сроки  согласования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00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П</w:t>
            </w:r>
            <w:r>
              <w:rPr>
                <w:b/>
                <w:sz w:val="20"/>
                <w:szCs w:val="20"/>
              </w:rPr>
              <w:t xml:space="preserve">одпись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</w:tr>
      <w:tr>
        <w:tblPrEx/>
        <w:trPr>
          <w:cantSplit/>
          <w:trHeight w:val="769"/>
        </w:trPr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2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rPr>
                <w:b/>
                <w:sz w:val="20"/>
                <w:szCs w:val="20"/>
                <w:u w:val="single"/>
              </w:rPr>
            </w:pPr>
            <w:r>
              <w:rPr>
                <w:b/>
                <w:sz w:val="20"/>
                <w:szCs w:val="20"/>
                <w:u w:val="single"/>
              </w:rPr>
            </w:r>
            <w:r>
              <w:rPr>
                <w:b/>
                <w:sz w:val="20"/>
                <w:szCs w:val="20"/>
                <w:u w:val="single"/>
              </w:rPr>
            </w:r>
            <w:r>
              <w:rPr>
                <w:b/>
                <w:sz w:val="20"/>
                <w:szCs w:val="20"/>
                <w:u w:val="singl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77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rPr>
                <w:b/>
                <w:sz w:val="20"/>
                <w:szCs w:val="20"/>
                <w:u w:val="single"/>
              </w:rPr>
            </w:pPr>
            <w:r>
              <w:rPr>
                <w:b/>
                <w:sz w:val="20"/>
                <w:szCs w:val="20"/>
                <w:u w:val="single"/>
              </w:rPr>
            </w:r>
            <w:r>
              <w:rPr>
                <w:b/>
                <w:sz w:val="20"/>
                <w:szCs w:val="20"/>
                <w:u w:val="single"/>
              </w:rPr>
            </w:r>
            <w:r>
              <w:rPr>
                <w:b/>
                <w:sz w:val="20"/>
                <w:szCs w:val="20"/>
                <w:u w:val="singl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26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rPr>
                <w:b/>
                <w:sz w:val="20"/>
                <w:szCs w:val="20"/>
                <w:u w:val="single"/>
              </w:rPr>
            </w:pPr>
            <w:r>
              <w:rPr>
                <w:b/>
                <w:sz w:val="20"/>
                <w:szCs w:val="20"/>
                <w:u w:val="single"/>
              </w:rPr>
            </w:r>
            <w:r>
              <w:rPr>
                <w:b/>
                <w:sz w:val="20"/>
                <w:szCs w:val="20"/>
                <w:u w:val="single"/>
              </w:rPr>
            </w:r>
            <w:r>
              <w:rPr>
                <w:b/>
                <w:sz w:val="20"/>
                <w:szCs w:val="20"/>
                <w:u w:val="singl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дата </w:t>
            </w:r>
            <w:r>
              <w:rPr>
                <w:b/>
                <w:sz w:val="20"/>
                <w:szCs w:val="20"/>
              </w:rPr>
              <w:t xml:space="preserve">получения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08" w:right="-10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дата согласования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06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</w:tr>
      <w:tr>
        <w:tblPrEx/>
        <w:trPr>
          <w:cantSplit/>
          <w:trHeight w:val="574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2" w:type="dxa"/>
            <w:vAlign w:val="center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77" w:type="dxa"/>
            <w:vAlign w:val="center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Начальник СМиТ 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Леонович Д.М.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06" w:type="dxa"/>
            <w:vAlign w:val="center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cantSplit/>
          <w:trHeight w:val="574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2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77" w:type="dxa"/>
            <w:vAlign w:val="center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06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cantSplit/>
          <w:trHeight w:val="574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2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77" w:type="dxa"/>
            <w:vAlign w:val="center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06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cantSplit/>
          <w:trHeight w:val="574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2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77" w:type="dxa"/>
            <w:vAlign w:val="center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06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cantSplit/>
          <w:trHeight w:val="574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2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77" w:type="dxa"/>
            <w:vAlign w:val="center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06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cantSplit/>
          <w:trHeight w:val="574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2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77" w:type="dxa"/>
            <w:vAlign w:val="center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06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cantSplit/>
          <w:trHeight w:val="574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2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77" w:type="dxa"/>
            <w:vAlign w:val="center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06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</w:tbl>
    <w:p>
      <w:r/>
      <w:r/>
    </w:p>
    <w:sectPr>
      <w:footnotePr/>
      <w:endnotePr/>
      <w:type w:val="nextPage"/>
      <w:pgSz w:w="11906" w:h="16838" w:orient="portrait"/>
      <w:pgMar w:top="0" w:right="709" w:bottom="567" w:left="1418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Wingdings">
    <w:panose1 w:val="05000000000000000000"/>
  </w:font>
  <w:font w:name="Courier New">
    <w:panose1 w:val="02070309020205020404"/>
  </w:font>
  <w:font w:name="Symbol">
    <w:panose1 w:val="05050102010706020507"/>
  </w:font>
  <w:font w:name="MS Mincho">
    <w:panose1 w:val="02020503050405090304"/>
  </w:font>
  <w:font w:name="Segoe UI">
    <w:panose1 w:val="020B0502040204020203"/>
  </w:font>
  <w:font w:name="SimSun">
    <w:panose1 w:val="02010600030101010101"/>
  </w:font>
  <w:font w:name="Times New Roman">
    <w:panose1 w:val="02020603050405020304"/>
  </w:font>
  <w:font w:name="Arial">
    <w:panose1 w:val="020B060402020202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4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 xml:space="preserve">2</w:t>
    </w:r>
    <w:r>
      <w:fldChar w:fldCharType="end"/>
    </w:r>
    <w:r/>
  </w:p>
  <w:p>
    <w:pPr>
      <w:pStyle w:val="943"/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43"/>
      <w:rPr>
        <w:rStyle w:val="945"/>
      </w:rPr>
      <w:framePr w:wrap="around" w:vAnchor="text" w:hAnchor="margin" w:xAlign="center" w:y="1"/>
    </w:pPr>
    <w:r>
      <w:rPr>
        <w:rStyle w:val="945"/>
      </w:rPr>
      <w:fldChar w:fldCharType="begin"/>
    </w:r>
    <w:r>
      <w:rPr>
        <w:rStyle w:val="945"/>
      </w:rPr>
      <w:instrText xml:space="preserve">PAGE  </w:instrText>
    </w:r>
    <w:r>
      <w:rPr>
        <w:rStyle w:val="945"/>
      </w:rPr>
      <w:fldChar w:fldCharType="end"/>
    </w:r>
    <w:r>
      <w:rPr>
        <w:rStyle w:val="945"/>
      </w:rPr>
    </w:r>
    <w:r>
      <w:rPr>
        <w:rStyle w:val="945"/>
      </w:rPr>
    </w:r>
  </w:p>
  <w:p>
    <w:pPr>
      <w:pStyle w:val="943"/>
    </w:pPr>
    <w:r/>
    <w:r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4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 xml:space="preserve">7</w:t>
    </w:r>
    <w:r>
      <w:fldChar w:fldCharType="end"/>
    </w:r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lowerLetter"/>
      <w:isLgl w:val="false"/>
      <w:suff w:val="tab"/>
      <w:lvlText w:val="%1)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200" w:hanging="360"/>
        <w:tabs>
          <w:tab w:val="num" w:pos="120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1920" w:hanging="180"/>
        <w:tabs>
          <w:tab w:val="num" w:pos="192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640" w:hanging="360"/>
        <w:tabs>
          <w:tab w:val="num" w:pos="264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360" w:hanging="360"/>
        <w:tabs>
          <w:tab w:val="num" w:pos="336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080" w:hanging="180"/>
        <w:tabs>
          <w:tab w:val="num" w:pos="408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4800" w:hanging="360"/>
        <w:tabs>
          <w:tab w:val="num" w:pos="480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520" w:hanging="360"/>
        <w:tabs>
          <w:tab w:val="num" w:pos="552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240" w:hanging="180"/>
        <w:tabs>
          <w:tab w:val="num" w:pos="6240" w:leader="none"/>
        </w:tabs>
      </w:pPr>
    </w:lvl>
  </w:abstractNum>
  <w:abstractNum w:abstractNumId="8">
    <w:multiLevelType w:val="hybridMultilevel"/>
    <w:styleLink w:val="980"/>
    <w:lvl w:ilvl="0">
      <w:start w:val="1"/>
      <w:numFmt w:val="decimal"/>
      <w:pStyle w:val="977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978"/>
      <w:isLgl w:val="false"/>
      <w:suff w:val="tab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979"/>
      <w:isLgl w:val="false"/>
      <w:suff w:val="tab"/>
      <w:lvlText w:val="%1.%2.%3."/>
      <w:lvlJc w:val="left"/>
      <w:pPr>
        <w:ind w:left="1135" w:hanging="567"/>
      </w:pPr>
      <w:rPr>
        <w:rFonts w:hint="default"/>
      </w:rPr>
    </w:lvl>
    <w:lvl w:ilvl="3">
      <w:start w:val="1"/>
      <w:numFmt w:val="decimal"/>
      <w:pStyle w:val="981"/>
      <w:isLgl w:val="false"/>
      <w:suff w:val="tab"/>
      <w:lvlText w:val="%1.%2.%3.%4."/>
      <w:lvlJc w:val="left"/>
      <w:pPr>
        <w:ind w:left="1816" w:hanging="681"/>
      </w:pPr>
      <w:rPr>
        <w:rFonts w:hint="default"/>
      </w:rPr>
    </w:lvl>
    <w:lvl w:ilvl="4">
      <w:start w:val="1"/>
      <w:numFmt w:val="decimal"/>
      <w:pStyle w:val="982"/>
      <w:isLgl w:val="false"/>
      <w:suff w:val="tab"/>
      <w:lvlText w:val="%1.%2.%3.%4.%5."/>
      <w:lvlJc w:val="left"/>
      <w:pPr>
        <w:ind w:left="1304" w:hanging="794"/>
      </w:pPr>
      <w:rPr>
        <w:rFonts w:hint="default"/>
      </w:rPr>
    </w:lvl>
    <w:lvl w:ilvl="5">
      <w:start w:val="1"/>
      <w:numFmt w:val="russianLower"/>
      <w:lvlRestart w:val="4"/>
      <w:pStyle w:val="983"/>
      <w:isLgl w:val="false"/>
      <w:suff w:val="tab"/>
      <w:lvlText w:val="%6)"/>
      <w:lvlJc w:val="left"/>
      <w:pPr>
        <w:ind w:left="340" w:hanging="340"/>
      </w:pPr>
      <w:rPr>
        <w:rFonts w:hint="default"/>
      </w:rPr>
    </w:lvl>
    <w:lvl w:ilvl="6">
      <w:start w:val="1"/>
      <w:numFmt w:val="decimal"/>
      <w:pStyle w:val="984"/>
      <w:isLgl w:val="false"/>
      <w:suff w:val="nothing"/>
      <w:lvlText w:val="Форма %7"/>
      <w:lvlJc w:val="right"/>
      <w:pPr>
        <w:ind w:left="14455" w:firstLine="288"/>
      </w:pPr>
      <w:rPr>
        <w:rFonts w:hint="default"/>
      </w:rPr>
    </w:lvl>
    <w:lvl w:ilvl="7">
      <w:start w:val="1"/>
      <w:numFmt w:val="lowerLetter"/>
      <w:isLgl w:val="false"/>
      <w:suff w:val="tab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isLgl w:val="false"/>
      <w:suff w:val="tab"/>
      <w:lvlText w:val="%9."/>
      <w:lvlJc w:val="left"/>
      <w:pPr>
        <w:ind w:left="3240" w:hanging="360"/>
      </w:pPr>
      <w:rPr>
        <w:rFonts w:hint="default"/>
      </w:rPr>
    </w:lvl>
  </w:abstractNum>
  <w:abstractNum w:abstractNumId="9">
    <w:multiLevelType w:val="hybridMultilevel"/>
    <w:lvl w:ilvl="0">
      <w:start w:val="9"/>
      <w:numFmt w:val="decimal"/>
      <w:isLgl w:val="false"/>
      <w:suff w:val="tab"/>
      <w:lvlText w:val="%1."/>
      <w:lvlJc w:val="left"/>
      <w:pPr>
        <w:ind w:left="1428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214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8" w:hanging="180"/>
      </w:pPr>
    </w:lvl>
  </w:abstractNum>
  <w:abstractNum w:abstractNumId="10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  <w:rPr>
        <w:b w:val="0"/>
        <w:i w:val="0"/>
        <w:color w:val="auto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2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isLgl w:val="false"/>
      <w:suff w:val="tab"/>
      <w:lvlText w:val="%1.%2."/>
      <w:lvlJc w:val="left"/>
      <w:pPr>
        <w:ind w:left="540" w:hanging="540"/>
      </w:pPr>
      <w:rPr>
        <w:rFonts w:hint="default"/>
      </w:rPr>
    </w:lvl>
    <w:lvl w:ilvl="2">
      <w:start w:val="5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60" w:hanging="360"/>
        <w:tabs>
          <w:tab w:val="num" w:pos="1260" w:leader="none"/>
        </w:tabs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980" w:hanging="360"/>
        <w:tabs>
          <w:tab w:val="num" w:pos="198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700" w:hanging="180"/>
        <w:tabs>
          <w:tab w:val="num" w:pos="270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420" w:hanging="360"/>
        <w:tabs>
          <w:tab w:val="num" w:pos="342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4140" w:hanging="360"/>
        <w:tabs>
          <w:tab w:val="num" w:pos="414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860" w:hanging="180"/>
        <w:tabs>
          <w:tab w:val="num" w:pos="486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580" w:hanging="360"/>
        <w:tabs>
          <w:tab w:val="num" w:pos="558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6300" w:hanging="360"/>
        <w:tabs>
          <w:tab w:val="num" w:pos="630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7020" w:hanging="180"/>
        <w:tabs>
          <w:tab w:val="num" w:pos="7020" w:leader="none"/>
        </w:tabs>
      </w:pPr>
    </w:lvl>
  </w:abstractNum>
  <w:abstractNum w:abstractNumId="14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isLgl w:val="false"/>
      <w:suff w:val="tab"/>
      <w:lvlText w:val="%1.%2."/>
      <w:lvlJc w:val="left"/>
      <w:pPr>
        <w:ind w:left="540" w:hanging="540"/>
      </w:pPr>
      <w:rPr>
        <w:rFonts w:hint="default"/>
      </w:rPr>
    </w:lvl>
    <w:lvl w:ilvl="2">
      <w:start w:val="4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540" w:hanging="540"/>
      </w:pPr>
      <w:rPr>
        <w:rFonts w:hint="default"/>
      </w:rPr>
    </w:lvl>
    <w:lvl w:ilvl="2">
      <w:start w:val="7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">
    <w:multiLevelType w:val="hybridMultilevel"/>
    <w:numStyleLink w:val="980"/>
    <w:lvl w:ilvl="0">
      <w:start w:val="1"/>
      <w:numFmt w:val="bullet"/>
      <w:isLgl w:val="false"/>
      <w:suff w:val="tab"/>
      <w:lvlText w:val="·"/>
      <w:lvlJc w:val="left"/>
      <w:pPr>
        <w:ind w:left="720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60" w:hanging="360"/>
        <w:tabs>
          <w:tab w:val="num" w:pos="1260" w:leader="none"/>
        </w:tabs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980" w:hanging="360"/>
        <w:tabs>
          <w:tab w:val="num" w:pos="198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700" w:hanging="180"/>
        <w:tabs>
          <w:tab w:val="num" w:pos="270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420" w:hanging="360"/>
        <w:tabs>
          <w:tab w:val="num" w:pos="342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4140" w:hanging="360"/>
        <w:tabs>
          <w:tab w:val="num" w:pos="414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860" w:hanging="180"/>
        <w:tabs>
          <w:tab w:val="num" w:pos="486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580" w:hanging="360"/>
        <w:tabs>
          <w:tab w:val="num" w:pos="558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6300" w:hanging="360"/>
        <w:tabs>
          <w:tab w:val="num" w:pos="630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7020" w:hanging="180"/>
        <w:tabs>
          <w:tab w:val="num" w:pos="7020" w:leader="none"/>
        </w:tabs>
      </w:pPr>
    </w:lvl>
  </w:abstractNum>
  <w:abstractNum w:abstractNumId="20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  <w:rPr>
        <w:rFonts w:ascii="Times New Roman" w:hAnsi="Times New Roman" w:eastAsia="Times New Roman" w:cs="Times New Roman"/>
        <w:color w:val="auto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22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  <w:rPr>
        <w:rFonts w:ascii="Times New Roman" w:hAnsi="Times New Roman" w:eastAsia="Times New Roman" w:cs="Times New Roman"/>
        <w:color w:val="auto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2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2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4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6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78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0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2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4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60" w:hanging="180"/>
      </w:pPr>
    </w:lvl>
  </w:abstractNum>
  <w:abstractNum w:abstractNumId="2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6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2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  <w:rPr>
        <w:rFonts w:ascii="Times New Roman" w:hAnsi="Times New Roman" w:eastAsia="Times New Roman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2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11"/>
  </w:num>
  <w:num w:numId="2">
    <w:abstractNumId w:val="17"/>
  </w:num>
  <w:num w:numId="3">
    <w:abstractNumId w:val="9"/>
  </w:num>
  <w:num w:numId="4">
    <w:abstractNumId w:val="1"/>
  </w:num>
  <w:num w:numId="5">
    <w:abstractNumId w:val="7"/>
  </w:num>
  <w:num w:numId="6">
    <w:abstractNumId w:val="13"/>
  </w:num>
  <w:num w:numId="7">
    <w:abstractNumId w:val="19"/>
  </w:num>
  <w:num w:numId="8">
    <w:abstractNumId w:val="5"/>
  </w:num>
  <w:num w:numId="9">
    <w:abstractNumId w:val="2"/>
  </w:num>
  <w:num w:numId="10">
    <w:abstractNumId w:val="21"/>
  </w:num>
  <w:num w:numId="11">
    <w:abstractNumId w:val="15"/>
  </w:num>
  <w:num w:numId="12">
    <w:abstractNumId w:val="10"/>
  </w:num>
  <w:num w:numId="13">
    <w:abstractNumId w:val="12"/>
  </w:num>
  <w:num w:numId="14">
    <w:abstractNumId w:val="14"/>
  </w:num>
  <w:num w:numId="15">
    <w:abstractNumId w:val="3"/>
  </w:num>
  <w:num w:numId="16">
    <w:abstractNumId w:val="4"/>
  </w:num>
  <w:num w:numId="17">
    <w:abstractNumId w:val="6"/>
  </w:num>
  <w:num w:numId="18">
    <w:abstractNumId w:val="16"/>
  </w:num>
  <w:num w:numId="19">
    <w:abstractNumId w:val="0"/>
  </w:num>
  <w:num w:numId="20">
    <w:abstractNumId w:val="20"/>
  </w:num>
  <w:num w:numId="2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2"/>
  </w:num>
  <w:num w:numId="23">
    <w:abstractNumId w:val="8"/>
  </w:num>
  <w:num w:numId="24">
    <w:abstractNumId w:val="18"/>
    <w:lvlOverride w:ilvl="0">
      <w:lvl w:ilvl="0">
        <w:start w:val="1"/>
        <w:numFmt w:val="decimal"/>
        <w:pStyle w:val="977"/>
        <w:isLgl w:val="false"/>
        <w:suff w:val="tab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978"/>
        <w:isLgl w:val="false"/>
        <w:suff w:val="tab"/>
        <w:lvlText w:val="%1.%2."/>
        <w:lvlJc w:val="left"/>
        <w:pPr>
          <w:ind w:left="0" w:firstLine="0"/>
        </w:pPr>
        <w:rPr>
          <w:rFonts w:hint="default"/>
          <w:b/>
        </w:rPr>
      </w:lvl>
    </w:lvlOverride>
    <w:lvlOverride w:ilvl="2">
      <w:lvl w:ilvl="2">
        <w:start w:val="1"/>
        <w:numFmt w:val="decimal"/>
        <w:pStyle w:val="979"/>
        <w:isLgl w:val="false"/>
        <w:suff w:val="tab"/>
        <w:lvlText w:val="%1.%2.%3."/>
        <w:lvlJc w:val="left"/>
        <w:pPr>
          <w:ind w:left="1135" w:hanging="567"/>
        </w:pPr>
        <w:rPr>
          <w:rFonts w:hint="default"/>
          <w:b w:val="0"/>
        </w:rPr>
      </w:lvl>
    </w:lvlOverride>
    <w:lvlOverride w:ilvl="3">
      <w:lvl w:ilvl="3">
        <w:start w:val="1"/>
        <w:numFmt w:val="decimal"/>
        <w:pStyle w:val="981"/>
        <w:isLgl w:val="false"/>
        <w:suff w:val="tab"/>
        <w:lvlText w:val="%1.%2.%3.%4."/>
        <w:lvlJc w:val="left"/>
        <w:pPr>
          <w:ind w:left="1816" w:hanging="681"/>
        </w:pPr>
        <w:rPr>
          <w:rFonts w:hint="default"/>
        </w:rPr>
      </w:lvl>
    </w:lvlOverride>
    <w:lvlOverride w:ilvl="4">
      <w:lvl w:ilvl="4">
        <w:start w:val="1"/>
        <w:numFmt w:val="decimal"/>
        <w:pStyle w:val="982"/>
        <w:isLgl w:val="false"/>
        <w:suff w:val="tab"/>
        <w:lvlText w:val="%1.%2.%3.%4.%5."/>
        <w:lvlJc w:val="left"/>
        <w:pPr>
          <w:ind w:left="1304" w:hanging="794"/>
        </w:pPr>
        <w:rPr>
          <w:rFonts w:hint="default"/>
        </w:rPr>
      </w:lvl>
    </w:lvlOverride>
    <w:lvlOverride w:ilvl="5">
      <w:lvl w:ilvl="5">
        <w:start w:val="1"/>
        <w:numFmt w:val="russianLower"/>
        <w:lvlRestart w:val="4"/>
        <w:pStyle w:val="983"/>
        <w:isLgl w:val="false"/>
        <w:suff w:val="tab"/>
        <w:lvlText w:val="%6)"/>
        <w:lvlJc w:val="left"/>
        <w:pPr>
          <w:ind w:left="340" w:hanging="340"/>
        </w:pPr>
        <w:rPr>
          <w:rFonts w:hint="default"/>
          <w:b w:val="0"/>
        </w:rPr>
      </w:lvl>
    </w:lvlOverride>
    <w:lvlOverride w:ilvl="6">
      <w:lvl w:ilvl="6">
        <w:start w:val="1"/>
        <w:numFmt w:val="decimal"/>
        <w:pStyle w:val="984"/>
        <w:isLgl w:val="false"/>
        <w:suff w:val="nothing"/>
        <w:lvlText w:val="Форма %7"/>
        <w:lvlJc w:val="right"/>
        <w:pPr>
          <w:ind w:left="14455" w:firstLine="288"/>
        </w:pPr>
        <w:rPr>
          <w:rFonts w:hint="default"/>
        </w:rPr>
      </w:lvl>
    </w:lvlOverride>
    <w:lvlOverride w:ilvl="7">
      <w:lvl w:ilvl="7">
        <w:start w:val="1"/>
        <w:numFmt w:val="lowerLetter"/>
        <w:isLgl w:val="false"/>
        <w:suff w:val="tab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isLgl w:val="false"/>
        <w:suff w:val="tab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25">
    <w:abstractNumId w:val="18"/>
    <w:lvlOverride w:ilvl="0">
      <w:startOverride w:val="1"/>
      <w:lvl w:ilvl="0">
        <w:start w:val="1"/>
        <w:numFmt w:val="decimal"/>
        <w:pStyle w:val="977"/>
        <w:isLgl w:val="false"/>
        <w:suff w:val="tab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startOverride w:val="1"/>
      <w:lvl w:ilvl="1">
        <w:start w:val="1"/>
        <w:numFmt w:val="decimal"/>
        <w:pStyle w:val="978"/>
        <w:isLgl w:val="false"/>
        <w:suff w:val="tab"/>
        <w:lvlText w:val="%1.%2."/>
        <w:lvlJc w:val="left"/>
        <w:pPr>
          <w:ind w:left="0" w:firstLine="0"/>
        </w:pPr>
        <w:rPr>
          <w:rFonts w:hint="default"/>
        </w:rPr>
      </w:lvl>
    </w:lvlOverride>
  </w:num>
  <w:num w:numId="26">
    <w:abstractNumId w:val="2"/>
  </w:num>
  <w:num w:numId="27">
    <w:abstractNumId w:val="23"/>
  </w:num>
  <w:num w:numId="28">
    <w:abstractNumId w:val="24"/>
  </w:num>
  <w:num w:numId="29">
    <w:abstractNumId w:val="25"/>
  </w:num>
  <w:num w:numId="30">
    <w:abstractNumId w:val="26"/>
  </w:num>
  <w:num w:numId="31">
    <w:abstractNumId w:val="27"/>
  </w:num>
  <w:num w:numId="32">
    <w:abstractNumId w:val="28"/>
  </w:num>
  <w:num w:numId="33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67">
    <w:name w:val="Heading 1"/>
    <w:basedOn w:val="934"/>
    <w:next w:val="934"/>
    <w:link w:val="768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768">
    <w:name w:val="Heading 1 Char"/>
    <w:basedOn w:val="938"/>
    <w:link w:val="767"/>
    <w:uiPriority w:val="9"/>
    <w:rPr>
      <w:rFonts w:ascii="Arial" w:hAnsi="Arial" w:eastAsia="Arial" w:cs="Arial"/>
      <w:sz w:val="40"/>
      <w:szCs w:val="40"/>
    </w:rPr>
  </w:style>
  <w:style w:type="character" w:styleId="769">
    <w:name w:val="Heading 2 Char"/>
    <w:basedOn w:val="938"/>
    <w:link w:val="935"/>
    <w:uiPriority w:val="9"/>
    <w:rPr>
      <w:rFonts w:ascii="Arial" w:hAnsi="Arial" w:eastAsia="Arial" w:cs="Arial"/>
      <w:sz w:val="34"/>
    </w:rPr>
  </w:style>
  <w:style w:type="paragraph" w:styleId="770">
    <w:name w:val="Heading 3"/>
    <w:basedOn w:val="934"/>
    <w:next w:val="934"/>
    <w:link w:val="771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771">
    <w:name w:val="Heading 3 Char"/>
    <w:basedOn w:val="938"/>
    <w:link w:val="770"/>
    <w:uiPriority w:val="9"/>
    <w:rPr>
      <w:rFonts w:ascii="Arial" w:hAnsi="Arial" w:eastAsia="Arial" w:cs="Arial"/>
      <w:sz w:val="30"/>
      <w:szCs w:val="30"/>
    </w:rPr>
  </w:style>
  <w:style w:type="paragraph" w:styleId="772">
    <w:name w:val="Heading 4"/>
    <w:basedOn w:val="934"/>
    <w:next w:val="934"/>
    <w:link w:val="773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73">
    <w:name w:val="Heading 4 Char"/>
    <w:basedOn w:val="938"/>
    <w:link w:val="772"/>
    <w:uiPriority w:val="9"/>
    <w:rPr>
      <w:rFonts w:ascii="Arial" w:hAnsi="Arial" w:eastAsia="Arial" w:cs="Arial"/>
      <w:b/>
      <w:bCs/>
      <w:sz w:val="26"/>
      <w:szCs w:val="26"/>
    </w:rPr>
  </w:style>
  <w:style w:type="character" w:styleId="774">
    <w:name w:val="Heading 5 Char"/>
    <w:basedOn w:val="938"/>
    <w:link w:val="936"/>
    <w:uiPriority w:val="9"/>
    <w:rPr>
      <w:rFonts w:ascii="Arial" w:hAnsi="Arial" w:eastAsia="Arial" w:cs="Arial"/>
      <w:b/>
      <w:bCs/>
      <w:sz w:val="24"/>
      <w:szCs w:val="24"/>
    </w:rPr>
  </w:style>
  <w:style w:type="paragraph" w:styleId="775">
    <w:name w:val="Heading 6"/>
    <w:basedOn w:val="934"/>
    <w:next w:val="934"/>
    <w:link w:val="776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76">
    <w:name w:val="Heading 6 Char"/>
    <w:basedOn w:val="938"/>
    <w:link w:val="775"/>
    <w:uiPriority w:val="9"/>
    <w:rPr>
      <w:rFonts w:ascii="Arial" w:hAnsi="Arial" w:eastAsia="Arial" w:cs="Arial"/>
      <w:b/>
      <w:bCs/>
      <w:sz w:val="22"/>
      <w:szCs w:val="22"/>
    </w:rPr>
  </w:style>
  <w:style w:type="character" w:styleId="777">
    <w:name w:val="Heading 7 Char"/>
    <w:basedOn w:val="938"/>
    <w:link w:val="937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78">
    <w:name w:val="Heading 8"/>
    <w:basedOn w:val="934"/>
    <w:next w:val="934"/>
    <w:link w:val="77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79">
    <w:name w:val="Heading 8 Char"/>
    <w:basedOn w:val="938"/>
    <w:link w:val="778"/>
    <w:uiPriority w:val="9"/>
    <w:rPr>
      <w:rFonts w:ascii="Arial" w:hAnsi="Arial" w:eastAsia="Arial" w:cs="Arial"/>
      <w:i/>
      <w:iCs/>
      <w:sz w:val="22"/>
      <w:szCs w:val="22"/>
    </w:rPr>
  </w:style>
  <w:style w:type="paragraph" w:styleId="780">
    <w:name w:val="Heading 9"/>
    <w:basedOn w:val="934"/>
    <w:next w:val="934"/>
    <w:link w:val="78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81">
    <w:name w:val="Heading 9 Char"/>
    <w:basedOn w:val="938"/>
    <w:link w:val="780"/>
    <w:uiPriority w:val="9"/>
    <w:rPr>
      <w:rFonts w:ascii="Arial" w:hAnsi="Arial" w:eastAsia="Arial" w:cs="Arial"/>
      <w:i/>
      <w:iCs/>
      <w:sz w:val="21"/>
      <w:szCs w:val="21"/>
    </w:rPr>
  </w:style>
  <w:style w:type="character" w:styleId="782">
    <w:name w:val="Title Char"/>
    <w:basedOn w:val="938"/>
    <w:link w:val="964"/>
    <w:uiPriority w:val="10"/>
    <w:rPr>
      <w:sz w:val="48"/>
      <w:szCs w:val="48"/>
    </w:rPr>
  </w:style>
  <w:style w:type="paragraph" w:styleId="783">
    <w:name w:val="Subtitle"/>
    <w:basedOn w:val="934"/>
    <w:next w:val="934"/>
    <w:link w:val="784"/>
    <w:uiPriority w:val="11"/>
    <w:qFormat/>
    <w:pPr>
      <w:spacing w:before="200" w:after="200"/>
    </w:pPr>
    <w:rPr>
      <w:sz w:val="24"/>
      <w:szCs w:val="24"/>
    </w:rPr>
  </w:style>
  <w:style w:type="character" w:styleId="784">
    <w:name w:val="Subtitle Char"/>
    <w:basedOn w:val="938"/>
    <w:link w:val="783"/>
    <w:uiPriority w:val="11"/>
    <w:rPr>
      <w:sz w:val="24"/>
      <w:szCs w:val="24"/>
    </w:rPr>
  </w:style>
  <w:style w:type="paragraph" w:styleId="785">
    <w:name w:val="Quote"/>
    <w:basedOn w:val="934"/>
    <w:next w:val="934"/>
    <w:link w:val="786"/>
    <w:uiPriority w:val="29"/>
    <w:qFormat/>
    <w:pPr>
      <w:ind w:left="720" w:right="720"/>
    </w:pPr>
    <w:rPr>
      <w:i/>
    </w:rPr>
  </w:style>
  <w:style w:type="character" w:styleId="786">
    <w:name w:val="Quote Char"/>
    <w:link w:val="785"/>
    <w:uiPriority w:val="29"/>
    <w:rPr>
      <w:i/>
    </w:rPr>
  </w:style>
  <w:style w:type="paragraph" w:styleId="787">
    <w:name w:val="Intense Quote"/>
    <w:basedOn w:val="934"/>
    <w:next w:val="934"/>
    <w:link w:val="788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88">
    <w:name w:val="Intense Quote Char"/>
    <w:link w:val="787"/>
    <w:uiPriority w:val="30"/>
    <w:rPr>
      <w:i/>
    </w:rPr>
  </w:style>
  <w:style w:type="character" w:styleId="789">
    <w:name w:val="Header Char"/>
    <w:basedOn w:val="938"/>
    <w:link w:val="946"/>
    <w:uiPriority w:val="99"/>
  </w:style>
  <w:style w:type="character" w:styleId="790">
    <w:name w:val="Footer Char"/>
    <w:basedOn w:val="938"/>
    <w:link w:val="943"/>
    <w:uiPriority w:val="99"/>
  </w:style>
  <w:style w:type="character" w:styleId="791">
    <w:name w:val="Caption Char"/>
    <w:basedOn w:val="938"/>
    <w:link w:val="953"/>
    <w:uiPriority w:val="35"/>
    <w:rPr>
      <w:b/>
      <w:bCs/>
      <w:color w:val="4f81bd" w:themeColor="accent1"/>
      <w:sz w:val="18"/>
      <w:szCs w:val="18"/>
    </w:rPr>
  </w:style>
  <w:style w:type="table" w:styleId="792">
    <w:name w:val="Table Grid"/>
    <w:basedOn w:val="939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93">
    <w:name w:val="Table Grid Light"/>
    <w:basedOn w:val="93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94">
    <w:name w:val="Plain Table 1"/>
    <w:basedOn w:val="93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95">
    <w:name w:val="Plain Table 2"/>
    <w:basedOn w:val="939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96">
    <w:name w:val="Plain Table 3"/>
    <w:basedOn w:val="93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97">
    <w:name w:val="Plain Table 4"/>
    <w:basedOn w:val="93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8">
    <w:name w:val="Plain Table 5"/>
    <w:basedOn w:val="93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99">
    <w:name w:val="Grid Table 1 Light"/>
    <w:basedOn w:val="9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0">
    <w:name w:val="Grid Table 1 Light - Accent 1"/>
    <w:basedOn w:val="9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1">
    <w:name w:val="Grid Table 1 Light - Accent 2"/>
    <w:basedOn w:val="9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2">
    <w:name w:val="Grid Table 1 Light - Accent 3"/>
    <w:basedOn w:val="9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3">
    <w:name w:val="Grid Table 1 Light - Accent 4"/>
    <w:basedOn w:val="9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4">
    <w:name w:val="Grid Table 1 Light - Accent 5"/>
    <w:basedOn w:val="9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5">
    <w:name w:val="Grid Table 1 Light - Accent 6"/>
    <w:basedOn w:val="9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6">
    <w:name w:val="Grid Table 2"/>
    <w:basedOn w:val="9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7">
    <w:name w:val="Grid Table 2 - Accent 1"/>
    <w:basedOn w:val="9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8">
    <w:name w:val="Grid Table 2 - Accent 2"/>
    <w:basedOn w:val="9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9">
    <w:name w:val="Grid Table 2 - Accent 3"/>
    <w:basedOn w:val="9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0">
    <w:name w:val="Grid Table 2 - Accent 4"/>
    <w:basedOn w:val="9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1">
    <w:name w:val="Grid Table 2 - Accent 5"/>
    <w:basedOn w:val="9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2">
    <w:name w:val="Grid Table 2 - Accent 6"/>
    <w:basedOn w:val="9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3">
    <w:name w:val="Grid Table 3"/>
    <w:basedOn w:val="9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4">
    <w:name w:val="Grid Table 3 - Accent 1"/>
    <w:basedOn w:val="9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5">
    <w:name w:val="Grid Table 3 - Accent 2"/>
    <w:basedOn w:val="9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6">
    <w:name w:val="Grid Table 3 - Accent 3"/>
    <w:basedOn w:val="9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7">
    <w:name w:val="Grid Table 3 - Accent 4"/>
    <w:basedOn w:val="9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8">
    <w:name w:val="Grid Table 3 - Accent 5"/>
    <w:basedOn w:val="9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9">
    <w:name w:val="Grid Table 3 - Accent 6"/>
    <w:basedOn w:val="9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0">
    <w:name w:val="Grid Table 4"/>
    <w:basedOn w:val="93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21">
    <w:name w:val="Grid Table 4 - Accent 1"/>
    <w:basedOn w:val="93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822">
    <w:name w:val="Grid Table 4 - Accent 2"/>
    <w:basedOn w:val="93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23">
    <w:name w:val="Grid Table 4 - Accent 3"/>
    <w:basedOn w:val="93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24">
    <w:name w:val="Grid Table 4 - Accent 4"/>
    <w:basedOn w:val="93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25">
    <w:name w:val="Grid Table 4 - Accent 5"/>
    <w:basedOn w:val="93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6">
    <w:name w:val="Grid Table 4 - Accent 6"/>
    <w:basedOn w:val="93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27">
    <w:name w:val="Grid Table 5 Dark"/>
    <w:basedOn w:val="9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28">
    <w:name w:val="Grid Table 5 Dark- Accent 1"/>
    <w:basedOn w:val="9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829">
    <w:name w:val="Grid Table 5 Dark - Accent 2"/>
    <w:basedOn w:val="9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830">
    <w:name w:val="Grid Table 5 Dark - Accent 3"/>
    <w:basedOn w:val="9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831">
    <w:name w:val="Grid Table 5 Dark- Accent 4"/>
    <w:basedOn w:val="9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832">
    <w:name w:val="Grid Table 5 Dark - Accent 5"/>
    <w:basedOn w:val="9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833">
    <w:name w:val="Grid Table 5 Dark - Accent 6"/>
    <w:basedOn w:val="9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834">
    <w:name w:val="Grid Table 6 Colorful"/>
    <w:basedOn w:val="9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35">
    <w:name w:val="Grid Table 6 Colorful - Accent 1"/>
    <w:basedOn w:val="9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836">
    <w:name w:val="Grid Table 6 Colorful - Accent 2"/>
    <w:basedOn w:val="9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837">
    <w:name w:val="Grid Table 6 Colorful - Accent 3"/>
    <w:basedOn w:val="9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838">
    <w:name w:val="Grid Table 6 Colorful - Accent 4"/>
    <w:basedOn w:val="9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839">
    <w:name w:val="Grid Table 6 Colorful - Accent 5"/>
    <w:basedOn w:val="9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40">
    <w:name w:val="Grid Table 6 Colorful - Accent 6"/>
    <w:basedOn w:val="9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41">
    <w:name w:val="Grid Table 7 Colorful"/>
    <w:basedOn w:val="9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2">
    <w:name w:val="Grid Table 7 Colorful - Accent 1"/>
    <w:basedOn w:val="9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3">
    <w:name w:val="Grid Table 7 Colorful - Accent 2"/>
    <w:basedOn w:val="9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4">
    <w:name w:val="Grid Table 7 Colorful - Accent 3"/>
    <w:basedOn w:val="9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5">
    <w:name w:val="Grid Table 7 Colorful - Accent 4"/>
    <w:basedOn w:val="9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6">
    <w:name w:val="Grid Table 7 Colorful - Accent 5"/>
    <w:basedOn w:val="9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7">
    <w:name w:val="Grid Table 7 Colorful - Accent 6"/>
    <w:basedOn w:val="9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8">
    <w:name w:val="List Table 1 Light"/>
    <w:basedOn w:val="93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9">
    <w:name w:val="List Table 1 Light - Accent 1"/>
    <w:basedOn w:val="93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0">
    <w:name w:val="List Table 1 Light - Accent 2"/>
    <w:basedOn w:val="93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1">
    <w:name w:val="List Table 1 Light - Accent 3"/>
    <w:basedOn w:val="93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2">
    <w:name w:val="List Table 1 Light - Accent 4"/>
    <w:basedOn w:val="93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3">
    <w:name w:val="List Table 1 Light - Accent 5"/>
    <w:basedOn w:val="93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4">
    <w:name w:val="List Table 1 Light - Accent 6"/>
    <w:basedOn w:val="93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5">
    <w:name w:val="List Table 2"/>
    <w:basedOn w:val="9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856">
    <w:name w:val="List Table 2 - Accent 1"/>
    <w:basedOn w:val="9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57">
    <w:name w:val="List Table 2 - Accent 2"/>
    <w:basedOn w:val="9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58">
    <w:name w:val="List Table 2 - Accent 3"/>
    <w:basedOn w:val="9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59">
    <w:name w:val="List Table 2 - Accent 4"/>
    <w:basedOn w:val="9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60">
    <w:name w:val="List Table 2 - Accent 5"/>
    <w:basedOn w:val="9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61">
    <w:name w:val="List Table 2 - Accent 6"/>
    <w:basedOn w:val="9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62">
    <w:name w:val="List Table 3"/>
    <w:basedOn w:val="9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3">
    <w:name w:val="List Table 3 - Accent 1"/>
    <w:basedOn w:val="9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4">
    <w:name w:val="List Table 3 - Accent 2"/>
    <w:basedOn w:val="9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5">
    <w:name w:val="List Table 3 - Accent 3"/>
    <w:basedOn w:val="9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6">
    <w:name w:val="List Table 3 - Accent 4"/>
    <w:basedOn w:val="9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7">
    <w:name w:val="List Table 3 - Accent 5"/>
    <w:basedOn w:val="9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8">
    <w:name w:val="List Table 3 - Accent 6"/>
    <w:basedOn w:val="9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9">
    <w:name w:val="List Table 4"/>
    <w:basedOn w:val="9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0">
    <w:name w:val="List Table 4 - Accent 1"/>
    <w:basedOn w:val="9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1">
    <w:name w:val="List Table 4 - Accent 2"/>
    <w:basedOn w:val="9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2">
    <w:name w:val="List Table 4 - Accent 3"/>
    <w:basedOn w:val="9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3">
    <w:name w:val="List Table 4 - Accent 4"/>
    <w:basedOn w:val="9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4">
    <w:name w:val="List Table 4 - Accent 5"/>
    <w:basedOn w:val="9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5">
    <w:name w:val="List Table 4 - Accent 6"/>
    <w:basedOn w:val="9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6">
    <w:name w:val="List Table 5 Dark"/>
    <w:basedOn w:val="9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77">
    <w:name w:val="List Table 5 Dark - Accent 1"/>
    <w:basedOn w:val="9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78">
    <w:name w:val="List Table 5 Dark - Accent 2"/>
    <w:basedOn w:val="9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79">
    <w:name w:val="List Table 5 Dark - Accent 3"/>
    <w:basedOn w:val="9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80">
    <w:name w:val="List Table 5 Dark - Accent 4"/>
    <w:basedOn w:val="9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81">
    <w:name w:val="List Table 5 Dark - Accent 5"/>
    <w:basedOn w:val="9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82">
    <w:name w:val="List Table 5 Dark - Accent 6"/>
    <w:basedOn w:val="9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83">
    <w:name w:val="List Table 6 Colorful"/>
    <w:basedOn w:val="9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84">
    <w:name w:val="List Table 6 Colorful - Accent 1"/>
    <w:basedOn w:val="9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85">
    <w:name w:val="List Table 6 Colorful - Accent 2"/>
    <w:basedOn w:val="9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86">
    <w:name w:val="List Table 6 Colorful - Accent 3"/>
    <w:basedOn w:val="9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87">
    <w:name w:val="List Table 6 Colorful - Accent 4"/>
    <w:basedOn w:val="9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88">
    <w:name w:val="List Table 6 Colorful - Accent 5"/>
    <w:basedOn w:val="9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89">
    <w:name w:val="List Table 6 Colorful - Accent 6"/>
    <w:basedOn w:val="9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90">
    <w:name w:val="List Table 7 Colorful"/>
    <w:basedOn w:val="9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91">
    <w:name w:val="List Table 7 Colorful - Accent 1"/>
    <w:basedOn w:val="9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892">
    <w:name w:val="List Table 7 Colorful - Accent 2"/>
    <w:basedOn w:val="9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893">
    <w:name w:val="List Table 7 Colorful - Accent 3"/>
    <w:basedOn w:val="9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894">
    <w:name w:val="List Table 7 Colorful - Accent 4"/>
    <w:basedOn w:val="9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895">
    <w:name w:val="List Table 7 Colorful - Accent 5"/>
    <w:basedOn w:val="9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896">
    <w:name w:val="List Table 7 Colorful - Accent 6"/>
    <w:basedOn w:val="9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897">
    <w:name w:val="Lined - Accent"/>
    <w:basedOn w:val="93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98">
    <w:name w:val="Lined - Accent 1"/>
    <w:basedOn w:val="93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899">
    <w:name w:val="Lined - Accent 2"/>
    <w:basedOn w:val="93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900">
    <w:name w:val="Lined - Accent 3"/>
    <w:basedOn w:val="93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901">
    <w:name w:val="Lined - Accent 4"/>
    <w:basedOn w:val="93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902">
    <w:name w:val="Lined - Accent 5"/>
    <w:basedOn w:val="93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903">
    <w:name w:val="Lined - Accent 6"/>
    <w:basedOn w:val="93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904">
    <w:name w:val="Bordered &amp; Lined - Accent"/>
    <w:basedOn w:val="93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05">
    <w:name w:val="Bordered &amp; Lined - Accent 1"/>
    <w:basedOn w:val="93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906">
    <w:name w:val="Bordered &amp; Lined - Accent 2"/>
    <w:basedOn w:val="93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907">
    <w:name w:val="Bordered &amp; Lined - Accent 3"/>
    <w:basedOn w:val="93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908">
    <w:name w:val="Bordered &amp; Lined - Accent 4"/>
    <w:basedOn w:val="93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909">
    <w:name w:val="Bordered &amp; Lined - Accent 5"/>
    <w:basedOn w:val="93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910">
    <w:name w:val="Bordered &amp; Lined - Accent 6"/>
    <w:basedOn w:val="93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911">
    <w:name w:val="Bordered"/>
    <w:basedOn w:val="9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912">
    <w:name w:val="Bordered - Accent 1"/>
    <w:basedOn w:val="9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913">
    <w:name w:val="Bordered - Accent 2"/>
    <w:basedOn w:val="9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914">
    <w:name w:val="Bordered - Accent 3"/>
    <w:basedOn w:val="9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915">
    <w:name w:val="Bordered - Accent 4"/>
    <w:basedOn w:val="9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916">
    <w:name w:val="Bordered - Accent 5"/>
    <w:basedOn w:val="9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917">
    <w:name w:val="Bordered - Accent 6"/>
    <w:basedOn w:val="9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918">
    <w:name w:val="footnote text"/>
    <w:basedOn w:val="934"/>
    <w:link w:val="919"/>
    <w:uiPriority w:val="99"/>
    <w:semiHidden/>
    <w:unhideWhenUsed/>
    <w:pPr>
      <w:spacing w:after="40" w:line="240" w:lineRule="auto"/>
    </w:pPr>
    <w:rPr>
      <w:sz w:val="18"/>
    </w:rPr>
  </w:style>
  <w:style w:type="character" w:styleId="919">
    <w:name w:val="Footnote Text Char"/>
    <w:link w:val="918"/>
    <w:uiPriority w:val="99"/>
    <w:rPr>
      <w:sz w:val="18"/>
    </w:rPr>
  </w:style>
  <w:style w:type="character" w:styleId="920">
    <w:name w:val="footnote reference"/>
    <w:basedOn w:val="938"/>
    <w:uiPriority w:val="99"/>
    <w:unhideWhenUsed/>
    <w:rPr>
      <w:vertAlign w:val="superscript"/>
    </w:rPr>
  </w:style>
  <w:style w:type="paragraph" w:styleId="921">
    <w:name w:val="endnote text"/>
    <w:basedOn w:val="934"/>
    <w:link w:val="922"/>
    <w:uiPriority w:val="99"/>
    <w:semiHidden/>
    <w:unhideWhenUsed/>
    <w:pPr>
      <w:spacing w:after="0" w:line="240" w:lineRule="auto"/>
    </w:pPr>
    <w:rPr>
      <w:sz w:val="20"/>
    </w:rPr>
  </w:style>
  <w:style w:type="character" w:styleId="922">
    <w:name w:val="Endnote Text Char"/>
    <w:link w:val="921"/>
    <w:uiPriority w:val="99"/>
    <w:rPr>
      <w:sz w:val="20"/>
    </w:rPr>
  </w:style>
  <w:style w:type="character" w:styleId="923">
    <w:name w:val="endnote reference"/>
    <w:basedOn w:val="938"/>
    <w:uiPriority w:val="99"/>
    <w:semiHidden/>
    <w:unhideWhenUsed/>
    <w:rPr>
      <w:vertAlign w:val="superscript"/>
    </w:rPr>
  </w:style>
  <w:style w:type="paragraph" w:styleId="924">
    <w:name w:val="toc 1"/>
    <w:basedOn w:val="934"/>
    <w:next w:val="934"/>
    <w:uiPriority w:val="39"/>
    <w:unhideWhenUsed/>
    <w:pPr>
      <w:ind w:left="0" w:right="0" w:firstLine="0"/>
      <w:spacing w:after="57"/>
    </w:pPr>
  </w:style>
  <w:style w:type="paragraph" w:styleId="925">
    <w:name w:val="toc 2"/>
    <w:basedOn w:val="934"/>
    <w:next w:val="934"/>
    <w:uiPriority w:val="39"/>
    <w:unhideWhenUsed/>
    <w:pPr>
      <w:ind w:left="283" w:right="0" w:firstLine="0"/>
      <w:spacing w:after="57"/>
    </w:pPr>
  </w:style>
  <w:style w:type="paragraph" w:styleId="926">
    <w:name w:val="toc 3"/>
    <w:basedOn w:val="934"/>
    <w:next w:val="934"/>
    <w:uiPriority w:val="39"/>
    <w:unhideWhenUsed/>
    <w:pPr>
      <w:ind w:left="567" w:right="0" w:firstLine="0"/>
      <w:spacing w:after="57"/>
    </w:pPr>
  </w:style>
  <w:style w:type="paragraph" w:styleId="927">
    <w:name w:val="toc 4"/>
    <w:basedOn w:val="934"/>
    <w:next w:val="934"/>
    <w:uiPriority w:val="39"/>
    <w:unhideWhenUsed/>
    <w:pPr>
      <w:ind w:left="850" w:right="0" w:firstLine="0"/>
      <w:spacing w:after="57"/>
    </w:pPr>
  </w:style>
  <w:style w:type="paragraph" w:styleId="928">
    <w:name w:val="toc 5"/>
    <w:basedOn w:val="934"/>
    <w:next w:val="934"/>
    <w:uiPriority w:val="39"/>
    <w:unhideWhenUsed/>
    <w:pPr>
      <w:ind w:left="1134" w:right="0" w:firstLine="0"/>
      <w:spacing w:after="57"/>
    </w:pPr>
  </w:style>
  <w:style w:type="paragraph" w:styleId="929">
    <w:name w:val="toc 7"/>
    <w:basedOn w:val="934"/>
    <w:next w:val="934"/>
    <w:uiPriority w:val="39"/>
    <w:unhideWhenUsed/>
    <w:pPr>
      <w:ind w:left="1701" w:right="0" w:firstLine="0"/>
      <w:spacing w:after="57"/>
    </w:pPr>
  </w:style>
  <w:style w:type="paragraph" w:styleId="930">
    <w:name w:val="toc 8"/>
    <w:basedOn w:val="934"/>
    <w:next w:val="934"/>
    <w:uiPriority w:val="39"/>
    <w:unhideWhenUsed/>
    <w:pPr>
      <w:ind w:left="1984" w:right="0" w:firstLine="0"/>
      <w:spacing w:after="57"/>
    </w:pPr>
  </w:style>
  <w:style w:type="paragraph" w:styleId="931">
    <w:name w:val="toc 9"/>
    <w:basedOn w:val="934"/>
    <w:next w:val="934"/>
    <w:uiPriority w:val="39"/>
    <w:unhideWhenUsed/>
    <w:pPr>
      <w:ind w:left="2268" w:right="0" w:firstLine="0"/>
      <w:spacing w:after="57"/>
    </w:pPr>
  </w:style>
  <w:style w:type="paragraph" w:styleId="932">
    <w:name w:val="TOC Heading"/>
    <w:uiPriority w:val="39"/>
    <w:unhideWhenUsed/>
  </w:style>
  <w:style w:type="paragraph" w:styleId="933">
    <w:name w:val="table of figures"/>
    <w:basedOn w:val="934"/>
    <w:next w:val="934"/>
    <w:uiPriority w:val="99"/>
    <w:unhideWhenUsed/>
    <w:pPr>
      <w:spacing w:after="0" w:afterAutospacing="0"/>
    </w:pPr>
  </w:style>
  <w:style w:type="paragraph" w:styleId="934" w:default="1">
    <w:name w:val="Normal"/>
    <w:qFormat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35">
    <w:name w:val="Heading 2"/>
    <w:basedOn w:val="934"/>
    <w:next w:val="934"/>
    <w:link w:val="969"/>
    <w:uiPriority w:val="9"/>
    <w:unhideWhenUsed/>
    <w:qFormat/>
    <w:pPr>
      <w:keepLines/>
      <w:keepNext/>
      <w:spacing w:before="40"/>
      <w:outlineLvl w:val="1"/>
    </w:pPr>
    <w:rPr>
      <w:rFonts w:asciiTheme="majorHAnsi" w:hAnsiTheme="majorHAnsi" w:eastAsiaTheme="majorEastAsia" w:cstheme="majorBidi"/>
      <w:color w:val="2e74b5" w:themeColor="accent1" w:themeShade="BF"/>
      <w:sz w:val="26"/>
      <w:szCs w:val="26"/>
    </w:rPr>
  </w:style>
  <w:style w:type="paragraph" w:styleId="936">
    <w:name w:val="Heading 5"/>
    <w:basedOn w:val="934"/>
    <w:next w:val="934"/>
    <w:link w:val="941"/>
    <w:qFormat/>
    <w:pPr>
      <w:spacing w:before="240" w:after="60"/>
      <w:outlineLvl w:val="4"/>
    </w:pPr>
    <w:rPr>
      <w:rFonts w:eastAsia="SimSun"/>
      <w:b/>
      <w:bCs/>
      <w:i/>
      <w:iCs/>
      <w:sz w:val="26"/>
      <w:szCs w:val="26"/>
    </w:rPr>
  </w:style>
  <w:style w:type="paragraph" w:styleId="937">
    <w:name w:val="Heading 7"/>
    <w:basedOn w:val="934"/>
    <w:next w:val="934"/>
    <w:link w:val="942"/>
    <w:qFormat/>
    <w:pPr>
      <w:spacing w:before="240" w:after="60"/>
      <w:outlineLvl w:val="6"/>
    </w:pPr>
    <w:rPr>
      <w:rFonts w:eastAsia="SimSun"/>
    </w:rPr>
  </w:style>
  <w:style w:type="character" w:styleId="938" w:default="1">
    <w:name w:val="Default Paragraph Font"/>
    <w:uiPriority w:val="1"/>
    <w:semiHidden/>
    <w:unhideWhenUsed/>
  </w:style>
  <w:style w:type="table" w:styleId="939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940" w:default="1">
    <w:name w:val="No List"/>
    <w:uiPriority w:val="99"/>
    <w:semiHidden/>
    <w:unhideWhenUsed/>
  </w:style>
  <w:style w:type="character" w:styleId="941" w:customStyle="1">
    <w:name w:val="Заголовок 5 Знак"/>
    <w:basedOn w:val="938"/>
    <w:link w:val="936"/>
    <w:rPr>
      <w:rFonts w:ascii="Times New Roman" w:hAnsi="Times New Roman" w:eastAsia="SimSun" w:cs="Times New Roman"/>
      <w:b/>
      <w:bCs/>
      <w:i/>
      <w:iCs/>
      <w:sz w:val="26"/>
      <w:szCs w:val="26"/>
      <w:lang w:eastAsia="ru-RU"/>
    </w:rPr>
  </w:style>
  <w:style w:type="character" w:styleId="942" w:customStyle="1">
    <w:name w:val="Заголовок 7 Знак"/>
    <w:basedOn w:val="938"/>
    <w:link w:val="937"/>
    <w:rPr>
      <w:rFonts w:ascii="Times New Roman" w:hAnsi="Times New Roman" w:eastAsia="SimSun" w:cs="Times New Roman"/>
      <w:sz w:val="24"/>
      <w:szCs w:val="24"/>
      <w:lang w:eastAsia="ru-RU"/>
    </w:rPr>
  </w:style>
  <w:style w:type="paragraph" w:styleId="943">
    <w:name w:val="Footer"/>
    <w:basedOn w:val="934"/>
    <w:link w:val="944"/>
    <w:uiPriority w:val="99"/>
    <w:pPr>
      <w:tabs>
        <w:tab w:val="center" w:pos="4677" w:leader="none"/>
        <w:tab w:val="right" w:pos="9355" w:leader="none"/>
      </w:tabs>
    </w:pPr>
    <w:rPr>
      <w:rFonts w:eastAsia="SimSun"/>
    </w:rPr>
  </w:style>
  <w:style w:type="character" w:styleId="944" w:customStyle="1">
    <w:name w:val="Нижний колонтитул Знак"/>
    <w:basedOn w:val="938"/>
    <w:link w:val="943"/>
    <w:uiPriority w:val="99"/>
    <w:rPr>
      <w:rFonts w:ascii="Times New Roman" w:hAnsi="Times New Roman" w:eastAsia="SimSun" w:cs="Times New Roman"/>
      <w:sz w:val="24"/>
      <w:szCs w:val="24"/>
      <w:lang w:eastAsia="ru-RU"/>
    </w:rPr>
  </w:style>
  <w:style w:type="character" w:styleId="945">
    <w:name w:val="page number"/>
    <w:basedOn w:val="938"/>
  </w:style>
  <w:style w:type="paragraph" w:styleId="946">
    <w:name w:val="Header"/>
    <w:basedOn w:val="934"/>
    <w:link w:val="947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947" w:customStyle="1">
    <w:name w:val="Верхний колонтитул Знак"/>
    <w:basedOn w:val="938"/>
    <w:link w:val="946"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48">
    <w:name w:val="No Spacing"/>
    <w:link w:val="986"/>
    <w:uiPriority w:val="1"/>
    <w:qFormat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49">
    <w:name w:val="List Paragraph"/>
    <w:basedOn w:val="934"/>
    <w:link w:val="976"/>
    <w:uiPriority w:val="34"/>
    <w:qFormat/>
    <w:pPr>
      <w:contextualSpacing/>
      <w:ind w:left="720"/>
    </w:pPr>
  </w:style>
  <w:style w:type="paragraph" w:styleId="950">
    <w:name w:val="Balloon Text"/>
    <w:basedOn w:val="934"/>
    <w:link w:val="951"/>
    <w:uiPriority w:val="99"/>
    <w:semiHidden/>
    <w:unhideWhenUsed/>
    <w:rPr>
      <w:rFonts w:ascii="Segoe UI" w:hAnsi="Segoe UI" w:cs="Segoe UI"/>
      <w:sz w:val="18"/>
      <w:szCs w:val="18"/>
    </w:rPr>
  </w:style>
  <w:style w:type="character" w:styleId="951" w:customStyle="1">
    <w:name w:val="Текст выноски Знак"/>
    <w:basedOn w:val="938"/>
    <w:link w:val="950"/>
    <w:uiPriority w:val="99"/>
    <w:semiHidden/>
    <w:rPr>
      <w:rFonts w:ascii="Segoe UI" w:hAnsi="Segoe UI" w:eastAsia="Times New Roman" w:cs="Segoe UI"/>
      <w:sz w:val="18"/>
      <w:szCs w:val="18"/>
      <w:lang w:eastAsia="ru-RU"/>
    </w:rPr>
  </w:style>
  <w:style w:type="character" w:styleId="952">
    <w:name w:val="Hyperlink"/>
    <w:uiPriority w:val="99"/>
    <w:rPr>
      <w:color w:val="0000ff"/>
      <w:u w:val="single"/>
    </w:rPr>
  </w:style>
  <w:style w:type="paragraph" w:styleId="953">
    <w:name w:val="Caption"/>
    <w:basedOn w:val="934"/>
    <w:next w:val="934"/>
    <w:link w:val="791"/>
    <w:uiPriority w:val="35"/>
    <w:unhideWhenUsed/>
    <w:qFormat/>
    <w:pPr>
      <w:spacing w:after="200"/>
    </w:pPr>
    <w:rPr>
      <w:rFonts w:asciiTheme="minorHAnsi" w:hAnsiTheme="minorHAnsi" w:eastAsiaTheme="minorHAnsi" w:cstheme="minorBidi"/>
      <w:b/>
      <w:bCs/>
      <w:color w:val="5b9bd5" w:themeColor="accent1"/>
      <w:sz w:val="18"/>
      <w:szCs w:val="18"/>
      <w:lang w:eastAsia="en-US"/>
    </w:rPr>
  </w:style>
  <w:style w:type="character" w:styleId="954">
    <w:name w:val="FollowedHyperlink"/>
    <w:basedOn w:val="938"/>
    <w:uiPriority w:val="99"/>
    <w:semiHidden/>
    <w:unhideWhenUsed/>
    <w:rPr>
      <w:color w:val="954f72" w:themeColor="followedHyperlink"/>
      <w:u w:val="single"/>
    </w:rPr>
  </w:style>
  <w:style w:type="paragraph" w:styleId="955">
    <w:name w:val="Body Text Indent"/>
    <w:basedOn w:val="934"/>
    <w:link w:val="956"/>
    <w:pPr>
      <w:ind w:left="1083" w:firstLine="537"/>
      <w:jc w:val="both"/>
      <w:tabs>
        <w:tab w:val="num" w:pos="0" w:leader="none"/>
      </w:tabs>
    </w:pPr>
    <w:rPr>
      <w:rFonts w:eastAsia="SimSun"/>
    </w:rPr>
  </w:style>
  <w:style w:type="character" w:styleId="956" w:customStyle="1">
    <w:name w:val="Основной текст с отступом Знак"/>
    <w:basedOn w:val="938"/>
    <w:link w:val="955"/>
    <w:rPr>
      <w:rFonts w:ascii="Times New Roman" w:hAnsi="Times New Roman" w:eastAsia="SimSun" w:cs="Times New Roman"/>
      <w:sz w:val="24"/>
      <w:szCs w:val="24"/>
      <w:lang w:eastAsia="ru-RU"/>
    </w:rPr>
  </w:style>
  <w:style w:type="paragraph" w:styleId="957" w:customStyle="1">
    <w:name w:val="Подпункт"/>
    <w:basedOn w:val="934"/>
    <w:pPr>
      <w:ind w:left="480" w:hanging="360"/>
      <w:jc w:val="both"/>
      <w:spacing w:line="360" w:lineRule="auto"/>
      <w:tabs>
        <w:tab w:val="num" w:pos="480" w:leader="none"/>
      </w:tabs>
    </w:pPr>
    <w:rPr>
      <w:sz w:val="28"/>
      <w:szCs w:val="20"/>
    </w:rPr>
  </w:style>
  <w:style w:type="paragraph" w:styleId="958" w:customStyle="1">
    <w:name w:val="Таблица шапка"/>
    <w:basedOn w:val="934"/>
    <w:pPr>
      <w:ind w:left="57" w:right="57"/>
      <w:keepNext/>
      <w:spacing w:before="40" w:after="40"/>
    </w:pPr>
    <w:rPr>
      <w:sz w:val="22"/>
      <w:szCs w:val="20"/>
    </w:rPr>
  </w:style>
  <w:style w:type="paragraph" w:styleId="959" w:customStyle="1">
    <w:name w:val="Таблица текст"/>
    <w:basedOn w:val="934"/>
    <w:pPr>
      <w:ind w:left="57" w:right="57"/>
      <w:spacing w:before="40" w:after="40"/>
    </w:pPr>
    <w:rPr>
      <w:szCs w:val="20"/>
    </w:rPr>
  </w:style>
  <w:style w:type="paragraph" w:styleId="960" w:customStyle="1">
    <w:name w:val="Times 12"/>
    <w:basedOn w:val="934"/>
    <w:pPr>
      <w:ind w:firstLine="567"/>
      <w:jc w:val="both"/>
    </w:pPr>
    <w:rPr>
      <w:szCs w:val="20"/>
      <w:lang w:eastAsia="ar-SA"/>
    </w:rPr>
  </w:style>
  <w:style w:type="paragraph" w:styleId="961" w:customStyle="1">
    <w:name w:val="StGen0"/>
    <w:basedOn w:val="934"/>
    <w:next w:val="964"/>
    <w:link w:val="962"/>
    <w:qFormat/>
    <w:pPr>
      <w:jc w:val="center"/>
    </w:pPr>
    <w:rPr>
      <w:rFonts w:eastAsia="MS Mincho" w:asciiTheme="minorHAnsi" w:hAnsiTheme="minorHAnsi" w:cstheme="minorBidi"/>
      <w:b/>
      <w:sz w:val="28"/>
      <w:szCs w:val="22"/>
    </w:rPr>
  </w:style>
  <w:style w:type="character" w:styleId="962" w:customStyle="1">
    <w:name w:val="Название Знак"/>
    <w:link w:val="961"/>
    <w:rPr>
      <w:rFonts w:eastAsia="MS Mincho"/>
      <w:b/>
      <w:sz w:val="28"/>
      <w:lang w:val="ru-RU" w:eastAsia="ru-RU" w:bidi="ar-SA"/>
    </w:rPr>
  </w:style>
  <w:style w:type="paragraph" w:styleId="963" w:customStyle="1">
    <w:name w:val="Пункт б/н"/>
    <w:basedOn w:val="934"/>
    <w:pPr>
      <w:ind w:firstLine="567"/>
      <w:jc w:val="both"/>
      <w:spacing w:line="360" w:lineRule="auto"/>
      <w:tabs>
        <w:tab w:val="left" w:pos="1134" w:leader="none"/>
      </w:tabs>
    </w:pPr>
    <w:rPr>
      <w:bCs/>
      <w:sz w:val="22"/>
      <w:szCs w:val="22"/>
    </w:rPr>
  </w:style>
  <w:style w:type="paragraph" w:styleId="964">
    <w:name w:val="Title"/>
    <w:basedOn w:val="934"/>
    <w:next w:val="934"/>
    <w:link w:val="965"/>
    <w:uiPriority w:val="10"/>
    <w:qFormat/>
    <w:pPr>
      <w:contextualSpacing/>
    </w:pPr>
    <w:rPr>
      <w:rFonts w:asciiTheme="majorHAnsi" w:hAnsiTheme="majorHAnsi" w:eastAsiaTheme="majorEastAsia" w:cstheme="majorBidi"/>
      <w:spacing w:val="-10"/>
      <w:sz w:val="56"/>
      <w:szCs w:val="56"/>
    </w:rPr>
  </w:style>
  <w:style w:type="character" w:styleId="965" w:customStyle="1">
    <w:name w:val="Заголовок Знак"/>
    <w:basedOn w:val="938"/>
    <w:link w:val="964"/>
    <w:uiPriority w:val="10"/>
    <w:rPr>
      <w:rFonts w:asciiTheme="majorHAnsi" w:hAnsiTheme="majorHAnsi" w:eastAsiaTheme="majorEastAsia" w:cstheme="majorBidi"/>
      <w:spacing w:val="-10"/>
      <w:sz w:val="56"/>
      <w:szCs w:val="56"/>
      <w:lang w:eastAsia="ru-RU"/>
    </w:rPr>
  </w:style>
  <w:style w:type="paragraph" w:styleId="966" w:customStyle="1">
    <w:name w:val="Обычный1"/>
    <w:pPr>
      <w:ind w:firstLine="567"/>
      <w:jc w:val="both"/>
      <w:spacing w:before="120" w:after="120" w:line="360" w:lineRule="atLeast"/>
      <w:widowControl w:val="off"/>
    </w:pPr>
    <w:rPr>
      <w:rFonts w:ascii="Times New Roman" w:hAnsi="Times New Roman" w:eastAsia="Times New Roman" w:cs="Times New Roman"/>
      <w:sz w:val="24"/>
      <w:szCs w:val="20"/>
      <w:lang w:eastAsia="ru-RU"/>
    </w:rPr>
  </w:style>
  <w:style w:type="paragraph" w:styleId="967" w:customStyle="1">
    <w:name w:val="Абзац списка1"/>
    <w:basedOn w:val="934"/>
    <w:link w:val="968"/>
    <w:pPr>
      <w:contextualSpacing/>
      <w:ind w:left="720" w:right="284" w:firstLine="720"/>
      <w:jc w:val="both"/>
      <w:spacing w:after="120" w:line="288" w:lineRule="auto"/>
    </w:pPr>
    <w:rPr>
      <w:rFonts w:eastAsia="SimSun"/>
      <w:color w:val="000000"/>
      <w:szCs w:val="20"/>
      <w:lang w:eastAsia="en-US"/>
    </w:rPr>
  </w:style>
  <w:style w:type="character" w:styleId="968" w:customStyle="1">
    <w:name w:val="List Paragraph Char"/>
    <w:link w:val="967"/>
    <w:rPr>
      <w:rFonts w:ascii="Times New Roman" w:hAnsi="Times New Roman" w:eastAsia="SimSun" w:cs="Times New Roman"/>
      <w:color w:val="000000"/>
      <w:sz w:val="24"/>
      <w:szCs w:val="20"/>
    </w:rPr>
  </w:style>
  <w:style w:type="character" w:styleId="969" w:customStyle="1">
    <w:name w:val="Заголовок 2 Знак"/>
    <w:basedOn w:val="938"/>
    <w:link w:val="935"/>
    <w:rPr>
      <w:rFonts w:asciiTheme="majorHAnsi" w:hAnsiTheme="majorHAnsi" w:eastAsiaTheme="majorEastAsia" w:cstheme="majorBidi"/>
      <w:color w:val="2e74b5" w:themeColor="accent1" w:themeShade="BF"/>
      <w:sz w:val="26"/>
      <w:szCs w:val="26"/>
      <w:lang w:eastAsia="ru-RU"/>
    </w:rPr>
  </w:style>
  <w:style w:type="paragraph" w:styleId="970" w:customStyle="1">
    <w:name w:val="StGen1"/>
    <w:basedOn w:val="934"/>
    <w:next w:val="964"/>
    <w:qFormat/>
    <w:pPr>
      <w:jc w:val="center"/>
    </w:pPr>
    <w:rPr>
      <w:b/>
      <w:sz w:val="28"/>
      <w:szCs w:val="20"/>
    </w:rPr>
  </w:style>
  <w:style w:type="character" w:styleId="971">
    <w:name w:val="annotation reference"/>
    <w:basedOn w:val="938"/>
    <w:uiPriority w:val="99"/>
    <w:unhideWhenUsed/>
    <w:rPr>
      <w:sz w:val="16"/>
      <w:szCs w:val="16"/>
    </w:rPr>
  </w:style>
  <w:style w:type="paragraph" w:styleId="972">
    <w:name w:val="annotation text"/>
    <w:basedOn w:val="934"/>
    <w:link w:val="973"/>
    <w:uiPriority w:val="99"/>
    <w:unhideWhenUsed/>
    <w:rPr>
      <w:sz w:val="20"/>
      <w:szCs w:val="20"/>
    </w:rPr>
  </w:style>
  <w:style w:type="character" w:styleId="973" w:customStyle="1">
    <w:name w:val="Текст примечания Знак"/>
    <w:basedOn w:val="938"/>
    <w:link w:val="972"/>
    <w:uiPriority w:val="99"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974">
    <w:name w:val="annotation subject"/>
    <w:basedOn w:val="972"/>
    <w:next w:val="972"/>
    <w:link w:val="975"/>
    <w:uiPriority w:val="99"/>
    <w:semiHidden/>
    <w:unhideWhenUsed/>
    <w:rPr>
      <w:b/>
      <w:bCs/>
    </w:rPr>
  </w:style>
  <w:style w:type="character" w:styleId="975" w:customStyle="1">
    <w:name w:val="Тема примечания Знак"/>
    <w:basedOn w:val="973"/>
    <w:link w:val="974"/>
    <w:uiPriority w:val="99"/>
    <w:semiHidden/>
    <w:rPr>
      <w:rFonts w:ascii="Times New Roman" w:hAnsi="Times New Roman" w:eastAsia="Times New Roman" w:cs="Times New Roman"/>
      <w:b/>
      <w:bCs/>
      <w:sz w:val="20"/>
      <w:szCs w:val="20"/>
      <w:lang w:eastAsia="ru-RU"/>
    </w:rPr>
  </w:style>
  <w:style w:type="character" w:styleId="976" w:customStyle="1">
    <w:name w:val="Абзац списка Знак"/>
    <w:basedOn w:val="938"/>
    <w:link w:val="949"/>
    <w:uiPriority w:val="34"/>
    <w:qFormat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77" w:customStyle="1">
    <w:name w:val="1-з"/>
    <w:qFormat/>
    <w:pPr>
      <w:numPr>
        <w:ilvl w:val="0"/>
        <w:numId w:val="24"/>
      </w:numPr>
      <w:jc w:val="center"/>
      <w:pageBreakBefore/>
      <w:spacing w:after="0" w:line="240" w:lineRule="auto"/>
      <w:outlineLvl w:val="0"/>
    </w:pPr>
    <w:rPr>
      <w:rFonts w:ascii="Times New Roman" w:hAnsi="Times New Roman" w:eastAsia="Times New Roman" w:cs="Times New Roman"/>
      <w:b/>
      <w:caps/>
      <w:sz w:val="24"/>
      <w:szCs w:val="20"/>
      <w:lang w:eastAsia="ru-RU"/>
    </w:rPr>
  </w:style>
  <w:style w:type="paragraph" w:styleId="978" w:customStyle="1">
    <w:name w:val="2-з"/>
    <w:basedOn w:val="934"/>
    <w:qFormat/>
    <w:pPr>
      <w:numPr>
        <w:ilvl w:val="1"/>
        <w:numId w:val="24"/>
      </w:numPr>
      <w:jc w:val="both"/>
      <w:spacing w:before="120" w:after="120"/>
      <w:widowControl w:val="off"/>
      <w:outlineLvl w:val="1"/>
    </w:pPr>
    <w:rPr>
      <w:b/>
      <w:szCs w:val="20"/>
    </w:rPr>
  </w:style>
  <w:style w:type="paragraph" w:styleId="979" w:customStyle="1">
    <w:name w:val="3-з"/>
    <w:link w:val="985"/>
    <w:qFormat/>
    <w:pPr>
      <w:numPr>
        <w:ilvl w:val="2"/>
        <w:numId w:val="24"/>
      </w:numPr>
      <w:jc w:val="both"/>
      <w:spacing w:before="120" w:after="120" w:line="240" w:lineRule="auto"/>
    </w:pPr>
    <w:rPr>
      <w:rFonts w:ascii="Times New Roman" w:hAnsi="Times New Roman" w:eastAsia="Times New Roman" w:cs="Times New Roman"/>
      <w:sz w:val="24"/>
      <w:szCs w:val="20"/>
      <w:lang w:eastAsia="ru-RU"/>
    </w:rPr>
  </w:style>
  <w:style w:type="numbering" w:styleId="980" w:customStyle="1">
    <w:name w:val="нумерация"/>
    <w:uiPriority w:val="99"/>
    <w:pPr>
      <w:numPr>
        <w:ilvl w:val="0"/>
        <w:numId w:val="23"/>
      </w:numPr>
    </w:pPr>
  </w:style>
  <w:style w:type="paragraph" w:styleId="981" w:customStyle="1">
    <w:name w:val="4-з"/>
    <w:qFormat/>
    <w:pPr>
      <w:numPr>
        <w:ilvl w:val="3"/>
        <w:numId w:val="24"/>
      </w:numPr>
      <w:jc w:val="both"/>
      <w:spacing w:after="0" w:line="240" w:lineRule="auto"/>
    </w:pPr>
    <w:rPr>
      <w:rFonts w:ascii="Times New Roman" w:hAnsi="Times New Roman" w:eastAsia="Times New Roman" w:cs="Times New Roman"/>
      <w:sz w:val="24"/>
      <w:szCs w:val="20"/>
      <w:lang w:eastAsia="ru-RU"/>
    </w:rPr>
  </w:style>
  <w:style w:type="paragraph" w:styleId="982" w:customStyle="1">
    <w:name w:val="5-з"/>
    <w:basedOn w:val="934"/>
    <w:qFormat/>
    <w:pPr>
      <w:numPr>
        <w:ilvl w:val="4"/>
        <w:numId w:val="24"/>
      </w:numPr>
      <w:jc w:val="both"/>
      <w:widowControl w:val="off"/>
    </w:pPr>
    <w:rPr>
      <w:szCs w:val="20"/>
    </w:rPr>
  </w:style>
  <w:style w:type="paragraph" w:styleId="983" w:customStyle="1">
    <w:name w:val="6-буквы"/>
    <w:basedOn w:val="934"/>
    <w:qFormat/>
    <w:pPr>
      <w:numPr>
        <w:ilvl w:val="5"/>
        <w:numId w:val="24"/>
      </w:numPr>
      <w:jc w:val="both"/>
      <w:widowControl w:val="off"/>
    </w:pPr>
    <w:rPr>
      <w:szCs w:val="20"/>
    </w:rPr>
  </w:style>
  <w:style w:type="paragraph" w:styleId="984" w:customStyle="1">
    <w:name w:val="7-форма"/>
    <w:qFormat/>
    <w:pPr>
      <w:numPr>
        <w:ilvl w:val="6"/>
        <w:numId w:val="24"/>
      </w:numPr>
      <w:ind w:left="0"/>
      <w:jc w:val="right"/>
      <w:spacing w:after="0" w:line="240" w:lineRule="auto"/>
      <w:tabs>
        <w:tab w:val="left" w:pos="1080" w:leader="none"/>
      </w:tabs>
    </w:pPr>
    <w:rPr>
      <w:rFonts w:ascii="Times New Roman" w:hAnsi="Times New Roman" w:eastAsia="Times New Roman" w:cs="Times New Roman"/>
      <w:b/>
      <w:sz w:val="24"/>
      <w:szCs w:val="20"/>
      <w:lang w:eastAsia="ru-RU"/>
    </w:rPr>
  </w:style>
  <w:style w:type="character" w:styleId="985" w:customStyle="1">
    <w:name w:val="3-з Знак"/>
    <w:basedOn w:val="938"/>
    <w:link w:val="979"/>
    <w:rPr>
      <w:rFonts w:ascii="Times New Roman" w:hAnsi="Times New Roman" w:eastAsia="Times New Roman" w:cs="Times New Roman"/>
      <w:sz w:val="24"/>
      <w:szCs w:val="20"/>
      <w:lang w:eastAsia="ru-RU"/>
    </w:rPr>
  </w:style>
  <w:style w:type="character" w:styleId="986" w:customStyle="1">
    <w:name w:val="Без интервала Знак"/>
    <w:link w:val="948"/>
    <w:uiPriority w:val="1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87">
    <w:name w:val="toc 6"/>
    <w:basedOn w:val="934"/>
    <w:next w:val="934"/>
    <w:uiPriority w:val="99"/>
    <w:semiHidden/>
    <w:pPr>
      <w:ind w:left="1400" w:firstLine="567"/>
      <w:spacing w:line="360" w:lineRule="auto"/>
    </w:pPr>
    <w:rPr>
      <w:sz w:val="18"/>
      <w:szCs w:val="18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footer" Target="footer2.xml" /><Relationship Id="rId11" Type="http://schemas.openxmlformats.org/officeDocument/2006/relationships/footer" Target="footer3.xml" /><Relationship Id="rId12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er3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E37C50-CC62-4972-9E40-D2E54A7E84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Р7-Офис/2025.2.1.801</Application>
  <Company>Hewlett-Packard Company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Корнев Егор Александрович</dc:creator>
  <cp:keywords/>
  <dc:description/>
  <cp:lastModifiedBy>Vlasyuk-VR</cp:lastModifiedBy>
  <cp:revision>35</cp:revision>
  <dcterms:created xsi:type="dcterms:W3CDTF">2025-10-24T07:33:00Z</dcterms:created>
  <dcterms:modified xsi:type="dcterms:W3CDTF">2026-08-26T04:54:29Z</dcterms:modified>
</cp:coreProperties>
</file>